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2026-08-25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3876.44</w:t>
            </w:r>
          </w:p>
        </w:tc>
        <w:tc>
          <w:tcPr>
            <w:tcW w:type="dxa" w:w="2160"/>
          </w:tcPr>
          <w:p>
            <w:r>
              <w:t>-0.14%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13709.00</w:t>
            </w:r>
          </w:p>
        </w:tc>
        <w:tc>
          <w:tcPr>
            <w:tcW w:type="dxa" w:w="2160"/>
          </w:tcPr>
          <w:p>
            <w:r>
              <w:t>-0.62%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3396.63</w:t>
            </w:r>
          </w:p>
        </w:tc>
        <w:tc>
          <w:tcPr>
            <w:tcW w:type="dxa" w:w="2160"/>
          </w:tcPr>
          <w:p>
            <w:r>
              <w:t>-1.03%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1593.77</w:t>
            </w:r>
          </w:p>
        </w:tc>
        <w:tc>
          <w:tcPr>
            <w:tcW w:type="dxa" w:w="2160"/>
          </w:tcPr>
          <w:p>
            <w:r>
              <w:t>-0.53%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4549.38</w:t>
            </w:r>
          </w:p>
        </w:tc>
        <w:tc>
          <w:tcPr>
            <w:tcW w:type="dxa" w:w="2160"/>
          </w:tcPr>
          <w:p>
            <w:r>
              <w:t>-0.30%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7667.99</w:t>
            </w:r>
          </w:p>
        </w:tc>
        <w:tc>
          <w:tcPr>
            <w:tcW w:type="dxa" w:w="2160"/>
          </w:tcPr>
          <w:p>
            <w:r>
              <w:t>-0.64%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14.8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58.72 亿  |  大单净 56.29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权重横盘与成长加速下跌的剪刀差扩大，叠加板块快速轮动，指数虽跌幅温和但结构性风险在积聚。上证-0.14%表现抗跌，创业板-1.03%领跌，较上一时段全数加速下行，较昨日同期则是跌势收敛后再度转弱，属于动能衰竭后的小级别反弹夭折，并非趋势反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📐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：520涨/474跌/6平，涨跌比1.10:1，表面尚可，但涨停仅6家、跌停2家，赚钱效应极弱，资金打板意愿低迷。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：8839亿，较昨日同期缩量12.3%。指数下跌但量能萎缩，属缩量回踩，短期杀跌动能有限，但也不足以支撑反弹。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：港股通净卖出14.8亿，较昨日同期净流出72.2亿大幅收敛57.4亿。南向流出放缓，但尚非净流入A股的积极信号，内外资态度中性偏谨慎。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：南向净流出14.8亿（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30亿阈值，信号中性）+ 恒生指数-0.21%、恒生科技-0.47%、离岸人民币微贬0.05%。外部共识偏空（score -2.7），但南向流出力度很弱，两者未形成共振，以降内盘量价为主。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🏭 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陶瓷行业（+1.14%）、石油行业（+0.20%）、酒店旅游（+0.16%）。较上一时段领涨板块完全替换，玻璃、船舶、传媒娱乐全部退位，轮动速度极快，无持续主线。石油行业走强或与WTI原油85.74美元高位相关，酒店旅游更多是低位反弹而非趋势反转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</w:t>
      </w:r>
      <w:r>
        <w:rPr>
          <w:rFonts w:ascii="微软雅黑" w:hAnsi="微软雅黑" w:eastAsia="微软雅黑"/>
          <w:color w:val="1A1A1A"/>
          <w:sz w:val="22"/>
        </w:rPr>
        <w:t>：次新股（-0.57%）、有色金属（-0.50%）、电子器件（-0.26%）。有色受LME铜-0.33%拖累，电子器件对应半导体链条走弱，科创50-0.53%同步下行。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⚠️ 警示</w:t>
      </w:r>
      <w:r>
        <w:rPr>
          <w:rFonts w:ascii="微软雅黑" w:hAnsi="微软雅黑" w:eastAsia="微软雅黑"/>
          <w:color w:val="1A1A1A"/>
          <w:sz w:val="22"/>
        </w:rPr>
        <w:t>：板块快速轮动+涨停家数仅6家，是典型弱势市场特征——资金不敢追高，只做超跌脉冲。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📈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：3876点，日内高点未现、价格贴近开盘价，MA短期均线走平，处震荡中枢。较上一时段-0.14pp横盘延续，未破坏区间结构，但上方压力明显。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：3396点，-1.03%领跌，跌破短期防御位后加速，技术形态最弱。KDJ高位拐头向下，MACD红柱缩短，短期动能转空。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：1593点，-0.53%，连续两日下跌，半导体权重拖累，需警惕前期反弹结构破坏。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信号解读</w:t>
      </w:r>
      <w:r>
        <w:rPr>
          <w:rFonts w:ascii="微软雅黑" w:hAnsi="微软雅黑" w:eastAsia="微软雅黑"/>
          <w:color w:val="1A1A1A"/>
          <w:sz w:val="22"/>
        </w:rPr>
        <w:t>：权重指数横盘、成长指数加速下行，市场呈典型的高低切换失败后的全面防御姿态。投机情绪（涨停6家 vs 跌停2家）处于冰点。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🔬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：上证缩量下跌，创业板放量下跌（较昨日同期跌幅扩大但无放量异常信号），权重与成长量能分配不均衡，资金从成长向价值防御迁移。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：昨日大单/特大单净流入58.72亿（样本30只，新浪估算数据，谨慎参考），但今日早盘量价表现萎靡，大资金活跃度低。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：上涨家数占比52%，但指数全数下跌，说明上涨个股集中在非权重/小市值，权重拖累明显，宽度虚而不实。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</w:t>
      </w:r>
      <w:r>
        <w:rPr>
          <w:rFonts w:ascii="微软雅黑" w:hAnsi="微软雅黑" w:eastAsia="微软雅黑"/>
          <w:color w:val="1A1A1A"/>
          <w:sz w:val="22"/>
        </w:rPr>
        <w:t>：连续两日领涨板块完全替换，轮动速度过快，缺乏持续赚钱效应，符合存量博弈的典型特征。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🌍 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</w:t>
      </w:r>
      <w:r>
        <w:rPr>
          <w:rFonts w:ascii="微软雅黑" w:hAnsi="微软雅黑" w:eastAsia="微软雅黑"/>
          <w:color w:val="1A1A1A"/>
          <w:sz w:val="22"/>
        </w:rPr>
        <w:t>：7月同比+0.5%，较前值1.0%回落，核心CPI仅0.9%，需求端偏弱。PPI同比+3.5%但环比-0.7%，输入性通胀减弱。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：7月制造业49.2跌破荣枯线，服务业49.3同步回落，经济内生动力不足，高技术制造53.3%为结构性亮点，但覆盖面有限。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M2与社融</w:t>
      </w:r>
      <w:r>
        <w:rPr>
          <w:rFonts w:ascii="微软雅黑" w:hAnsi="微软雅黑" w:eastAsia="微软雅黑"/>
          <w:color w:val="1A1A1A"/>
          <w:sz w:val="22"/>
        </w:rPr>
        <w:t>：M2同比+8.0%，社融存量+7.4%，流动性整体平稳偏弱，但实体融资需求疲软。LPR连续14个月不变（1年3.0%，5年3.5%），政策面处于静默观察期，短期降息预期不强。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对市场影响</w:t>
      </w:r>
      <w:r>
        <w:rPr>
          <w:rFonts w:ascii="微软雅黑" w:hAnsi="微软雅黑" w:eastAsia="微软雅黑"/>
          <w:color w:val="1A1A1A"/>
          <w:sz w:val="22"/>
        </w:rPr>
        <w:t>：宏观数据不支持市场趋势性走强，但流动性充裕（M2 356万亿）对估值提供底部支撑，指数以震荡而非单边下跌的概率更高。政策博弈窗口在三季度末到四季度初。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⚠️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板块轮动陷阱</w:t>
      </w:r>
      <w:r>
        <w:rPr>
          <w:rFonts w:ascii="微软雅黑" w:hAnsi="微软雅黑" w:eastAsia="微软雅黑"/>
          <w:color w:val="1A1A1A"/>
          <w:sz w:val="22"/>
        </w:rPr>
        <w:t>：连续两日领涨板块完全替换，资金无持续主线，追高极易被次日回杀，短线操作难度极大。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成长股破位</w:t>
      </w:r>
      <w:r>
        <w:rPr>
          <w:rFonts w:ascii="微软雅黑" w:hAnsi="微软雅黑" w:eastAsia="微软雅黑"/>
          <w:color w:val="1A1A1A"/>
          <w:sz w:val="22"/>
        </w:rPr>
        <w:t>：创业板指加速下跌，若午后不能收回3400上方，可能引发科技类止损盘集中释放。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外资共识转弱</w:t>
      </w:r>
      <w:r>
        <w:rPr>
          <w:rFonts w:ascii="微软雅黑" w:hAnsi="微软雅黑" w:eastAsia="微软雅黑"/>
          <w:color w:val="1A1A1A"/>
          <w:sz w:val="22"/>
        </w:rPr>
        <w:t>：港股与恒生科技同步下行，外部方向偏空，南向流出虽收敛但未转为回流，内外资分歧仍在。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量能萎缩的反弹假象</w:t>
      </w:r>
      <w:r>
        <w:rPr>
          <w:rFonts w:ascii="微软雅黑" w:hAnsi="微软雅黑" w:eastAsia="微软雅黑"/>
          <w:color w:val="1A1A1A"/>
          <w:sz w:val="22"/>
        </w:rPr>
        <w:t>：今日部分指数相对昨日跌幅收窄，但缩量反弹信号不可靠，若午后无明显增量入场，随时可能再度下探。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宏观数据偏弱</w:t>
      </w:r>
      <w:r>
        <w:rPr>
          <w:rFonts w:ascii="微软雅黑" w:hAnsi="微软雅黑" w:eastAsia="微软雅黑"/>
          <w:color w:val="1A1A1A"/>
          <w:sz w:val="22"/>
        </w:rPr>
        <w:t>：PMI破荣枯线、CPI回落，经济复苏不稳固，一旦后续政策不及预期，市场可能提前交易悲观预期。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