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2026-08-31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3944.86</w:t>
            </w:r>
          </w:p>
        </w:tc>
        <w:tc>
          <w:tcPr>
            <w:tcW w:type="dxa" w:w="2160"/>
          </w:tcPr>
          <w:p>
            <w:r>
              <w:t>-0.19%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13834.43</w:t>
            </w:r>
          </w:p>
        </w:tc>
        <w:tc>
          <w:tcPr>
            <w:tcW w:type="dxa" w:w="2160"/>
          </w:tcPr>
          <w:p>
            <w:r>
              <w:t>-0.85%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3388.80</w:t>
            </w:r>
          </w:p>
        </w:tc>
        <w:tc>
          <w:tcPr>
            <w:tcW w:type="dxa" w:w="2160"/>
          </w:tcPr>
          <w:p>
            <w:r>
              <w:t>-1.04%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1634.12</w:t>
            </w:r>
          </w:p>
        </w:tc>
        <w:tc>
          <w:tcPr>
            <w:tcW w:type="dxa" w:w="2160"/>
          </w:tcPr>
          <w:p>
            <w:r>
              <w:t>-1.69%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4577.82</w:t>
            </w:r>
          </w:p>
        </w:tc>
        <w:tc>
          <w:tcPr>
            <w:tcW w:type="dxa" w:w="2160"/>
          </w:tcPr>
          <w:p>
            <w:r>
              <w:t>-0.68%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7818.73</w:t>
            </w:r>
          </w:p>
        </w:tc>
        <w:tc>
          <w:tcPr>
            <w:tcW w:type="dxa" w:w="2160"/>
          </w:tcPr>
          <w:p>
            <w:r>
              <w:t>-0.97%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31.1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23.73 亿  |  大单净 23.6 亿  |  涨家 23 / 跌家 7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一句话点睛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本时段核心变化是深市加速下跌与板块快速轮动并存，权重护盘难掩市场内部结构弱化。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1.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早盘低开后上证指数在3950附近震荡修复，收窄跌幅至-0.19%，较上一时段基本持平，呈现横盘延续；但深证成指、创业板指、科创50分别下跌0.85%、1.04%、1.69%，较上一时段跌幅分别扩大0.85pp、1.04pp、1.67pp，呈明显的动能加速下跌特征。市场呈现“沪强深弱、权重抗跌、题材杀跌”格局，全市场上涨家数534家略多于下跌452家，但涨停仅12家，赚钱效应与指数跌幅明显背离，表明权重股是主要拖累，小盘题材股则快速轮动缺乏持续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2.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：上涨534家 / 下跌452家 / 平盘14家，上涨占比53.4%，较开盘初期未见明显恶化，但涨停12家、跌停5家，说明多头攻击力度有限，市场处于弱平衡状态。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：开盘1小时全市场总成交额约9970亿元，量能较昨日同期未出现显著萎缩，属于中性偏活跃水平，但结合指数普跌，属于“放量下跌”性质，需警惕资金借反弹离场。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外资监测（二维框架）</w:t>
      </w:r>
      <w:r>
        <w:rPr>
          <w:rFonts w:ascii="微软雅黑" w:hAnsi="微软雅黑" w:eastAsia="微软雅黑"/>
          <w:color w:val="1A1A1A"/>
          <w:sz w:val="22"/>
        </w:rPr>
        <w:t>：南向资金（港股通）净买入31.15亿元，其中沪市净买入23.34亿元，深市净买入7.81亿元，达到“大幅净流入”阈值（&gt;30亿），属于A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