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股量化报告 — 收盘报告</w:t>
      </w:r>
    </w:p>
    <w:p>
      <w:pPr>
        <w:jc w:val="center"/>
      </w:pPr>
      <w:r>
        <w:rPr>
          <w:color w:val="8B949E"/>
          <w:sz w:val="20"/>
        </w:rPr>
        <w:t>2026-07-31  |  模型: DeepSeek  |  量化交易视角</w:t>
      </w:r>
    </w:p>
    <w:p>
      <w:pPr>
        <w:pStyle w:val="Heading2"/>
      </w:pPr>
      <w:r>
        <w:t>核心指标速览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指数</w:t>
            </w:r>
          </w:p>
        </w:tc>
        <w:tc>
          <w:tcPr>
            <w:tcW w:type="dxa" w:w="2160"/>
          </w:tcPr>
          <w:p>
            <w:r>
              <w:t>点位</w:t>
            </w:r>
          </w:p>
        </w:tc>
        <w:tc>
          <w:tcPr>
            <w:tcW w:type="dxa" w:w="2160"/>
          </w:tcPr>
          <w:p>
            <w:r>
              <w:t>涨跌幅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上证指数</w:t>
            </w:r>
          </w:p>
        </w:tc>
        <w:tc>
          <w:tcPr>
            <w:tcW w:type="dxa" w:w="2160"/>
          </w:tcPr>
          <w:p>
            <w:r>
              <w:t>3829.22</w:t>
            </w:r>
          </w:p>
        </w:tc>
        <w:tc>
          <w:tcPr>
            <w:tcW w:type="dxa" w:w="2160"/>
          </w:tcPr>
          <w:p>
            <w:r>
              <w:t>+0.64%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深证成指</w:t>
            </w:r>
          </w:p>
        </w:tc>
        <w:tc>
          <w:tcPr>
            <w:tcW w:type="dxa" w:w="2160"/>
          </w:tcPr>
          <w:p>
            <w:r>
              <w:t>13654.44</w:t>
            </w:r>
          </w:p>
        </w:tc>
        <w:tc>
          <w:tcPr>
            <w:tcW w:type="dxa" w:w="2160"/>
          </w:tcPr>
          <w:p>
            <w:r>
              <w:t>+2.77%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创业板指</w:t>
            </w:r>
          </w:p>
        </w:tc>
        <w:tc>
          <w:tcPr>
            <w:tcW w:type="dxa" w:w="2160"/>
          </w:tcPr>
          <w:p>
            <w:r>
              <w:t>3390.17</w:t>
            </w:r>
          </w:p>
        </w:tc>
        <w:tc>
          <w:tcPr>
            <w:tcW w:type="dxa" w:w="2160"/>
          </w:tcPr>
          <w:p>
            <w:r>
              <w:t>+4.49%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科创50</w:t>
            </w:r>
          </w:p>
        </w:tc>
        <w:tc>
          <w:tcPr>
            <w:tcW w:type="dxa" w:w="2160"/>
          </w:tcPr>
          <w:p>
            <w:r>
              <w:t>1687.23</w:t>
            </w:r>
          </w:p>
        </w:tc>
        <w:tc>
          <w:tcPr>
            <w:tcW w:type="dxa" w:w="2160"/>
          </w:tcPr>
          <w:p>
            <w:r>
              <w:t>+6.22%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沪深300</w:t>
            </w:r>
          </w:p>
        </w:tc>
        <w:tc>
          <w:tcPr>
            <w:tcW w:type="dxa" w:w="2160"/>
          </w:tcPr>
          <w:p>
            <w:r>
              <w:t>4602.74</w:t>
            </w:r>
          </w:p>
        </w:tc>
        <w:tc>
          <w:tcPr>
            <w:tcW w:type="dxa" w:w="2160"/>
          </w:tcPr>
          <w:p>
            <w:r>
              <w:t>+1.17%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中证500</w:t>
            </w:r>
          </w:p>
        </w:tc>
        <w:tc>
          <w:tcPr>
            <w:tcW w:type="dxa" w:w="2160"/>
          </w:tcPr>
          <w:p>
            <w:r>
              <w:t>7530.09</w:t>
            </w:r>
          </w:p>
        </w:tc>
        <w:tc>
          <w:tcPr>
            <w:tcW w:type="dxa" w:w="2160"/>
          </w:tcPr>
          <w:p>
            <w:r>
              <w:t>+3.02%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北向资金：净流出 30.68 亿</w:t>
      </w:r>
      <w:r>
        <w:t xml:space="preserve">  |  沪股通 -9.28 亿  |  数据源: hexin</w:t>
      </w:r>
    </w:p>
    <w:p>
      <w:r>
        <w:rPr>
          <w:b/>
        </w:rPr>
        <w:t>大资金方向（替代两融）：</w:t>
      </w:r>
      <w:r>
        <w:t>28 股聚合净流入 106.77 亿  |  大单净 107.45 亿  |  涨家 23 / 跌家 5</w:t>
      </w:r>
      <w:r>
        <w:rPr>
          <w:color w:val="8B949E"/>
          <w:sz w:val="18"/>
        </w:rPr>
        <w:br/>
        <w:t>注：数据来自新浪资金流（大单/特大单估算），非融资融券官方数据，仅供参考大资金方向</w:t>
      </w:r>
    </w:p>
    <w:p>
      <w:r>
        <w:rPr>
          <w:b/>
        </w:rPr>
        <w:t>宏观数据：</w:t>
      </w:r>
      <w:r>
        <w:t>CPI 1.0%  |  PPI 4.1%  |  PMI 50.3  |  M2 8.0%  |  LPR 1Y 3.0%</w:t>
      </w:r>
    </w:p>
    <w:p/>
    <w:p>
      <w:pPr>
        <w:pStyle w:val="Heading2"/>
      </w:pPr>
      <w:r>
        <w:t>量化分析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📊 市场概览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今日市场呈现典型的高波动分化格局，科技成长方向在沉寂后迎来爆发式修复，而传统权重板块则明显承压。全市场上涨家数占比高达91.8%，但北向资金逆势净流出30.68亿，显示内外资博弈激烈。量能结构上，尽管指数全红，但核心指数的开盘缺口（尤其是科创50的低开高走）暗示短期多头在关键位置强力反攻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📈 核心指标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涨跌统计：</w:t>
      </w:r>
      <w:r>
        <w:rPr>
          <w:rFonts w:ascii="微软雅黑" w:hAnsi="微软雅黑" w:eastAsia="微软雅黑"/>
          <w:color w:val="1A1A1A"/>
          <w:sz w:val="22"/>
        </w:rPr>
        <w:t>上涨918家 / 下跌75家，涨跌比高达12.24:1。涨停56家，跌停0家。极端的多头碾压行情，市场广度达到非常态化高位。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成交额/量：</w:t>
      </w:r>
      <w:r>
        <w:rPr>
          <w:rFonts w:ascii="微软雅黑" w:hAnsi="微软雅黑" w:eastAsia="微软雅黑"/>
          <w:color w:val="1A1A1A"/>
          <w:sz w:val="22"/>
        </w:rPr>
        <w:t>（数据暂缺）从平均换手率0.88%来看，交投活跃度并未同步放大至过热区间，表明今日上涨更多是存量资金的集中调仓行为，而非全面增量驱动。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资金流向：</w:t>
      </w:r>
      <w:r>
        <w:rPr>
          <w:rFonts w:ascii="微软雅黑" w:hAnsi="微软雅黑" w:eastAsia="微软雅黑"/>
          <w:color w:val="1A1A1A"/>
          <w:sz w:val="22"/>
        </w:rPr>
        <w:t>北向资金全天净卖出30.68亿（沪市-9.28亿，深市-21.4亿），与大盘普涨形成顶背离，是今日重要的风险警示信号。样本数据显示大单主力资金呈净流入，分歧明显。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🔥 板块热点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领涨主线：硬核科技（半导体/光电子/高端装备）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驱动因素：</w:t>
      </w:r>
      <w:r>
        <w:rPr>
          <w:rFonts w:ascii="微软雅黑" w:hAnsi="微软雅黑" w:eastAsia="微软雅黑"/>
          <w:color w:val="1A1A1A"/>
          <w:sz w:val="22"/>
        </w:rPr>
        <w:t>科创50大涨6.22%，创业板指涨4.49%，主要由泛半导体产业链驱动。宏景科技、维宏股份、海川智能等封板，高PE特征显示情绪溢价飙升。光智科技、方邦股份等虽业绩亏损，但仍获巨幅拉升，表明资金在进行情绪化押注，逻辑上偏向对国产替代和AI算力硬件端的远期预期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量化观察：</w:t>
      </w:r>
      <w:r>
        <w:rPr>
          <w:rFonts w:ascii="微软雅黑" w:hAnsi="微软雅黑" w:eastAsia="微软雅黑"/>
          <w:color w:val="1A1A1A"/>
          <w:sz w:val="22"/>
        </w:rPr>
        <w:t>领涨股中绝大多数PE极高或为负，PB倍数普遍在10倍以上。这不是业绩驱动，而是典型的“市梦率”重估，资金在宏观数据空窗期与政策暖风下集中攻击高贝塔的科技赛道。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杀跌板块：传统周期与石化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驱动因素：</w:t>
      </w:r>
      <w:r>
        <w:rPr>
          <w:rFonts w:ascii="微软雅黑" w:hAnsi="微软雅黑" w:eastAsia="微软雅黑"/>
          <w:color w:val="1A1A1A"/>
          <w:sz w:val="22"/>
        </w:rPr>
        <w:t>金牛化工、中曼石油、通源石油等石化链条个股领跌，与国际油价（WTI原油微跌）及金价（伦敦金跌0.4%）的温和调整形成共振。长城军工、中电电机等前期热门题材股跌幅居前，显示短线资金正从旧题材中快速抽离并涌入科技股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📉 技术信号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上证指数 (000001)：</w:t>
      </w:r>
      <w:r>
        <w:rPr>
          <w:rFonts w:ascii="微软雅黑" w:hAnsi="微软雅黑" w:eastAsia="微软雅黑"/>
          <w:color w:val="1A1A1A"/>
          <w:sz w:val="22"/>
        </w:rPr>
        <w:t>收涨0.64%，在关键支撑位附近企稳，但涨幅远逊于深市。作为价值的锚，其弱势修复表明大金融、大消费等核心资产今日并非资金主战场。短期面临MA60（约3850一线）的反压。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深证成指 (399001) &amp; 创业板指 (399006)：</w:t>
      </w:r>
      <w:r>
        <w:rPr>
          <w:rFonts w:ascii="微软雅黑" w:hAnsi="微软雅黑" w:eastAsia="微软雅黑"/>
          <w:color w:val="1A1A1A"/>
          <w:sz w:val="22"/>
        </w:rPr>
        <w:t>分别收涨2.77%和4.49%，呈现跳空低开后的光头大阳线。这种K线组合是极强的转折信号。创业板指MACD绿柱急剧缩短，若明日能延续放量，日线级别金叉将在2个交易日内形成。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科创50 (000688)：</w:t>
      </w:r>
      <w:r>
        <w:rPr>
          <w:rFonts w:ascii="微软雅黑" w:hAnsi="微软雅黑" w:eastAsia="微软雅黑"/>
          <w:color w:val="1A1A1A"/>
          <w:sz w:val="22"/>
        </w:rPr>
        <w:t>收涨6.22%，为今日情绪领航标。暴力反弹收复前期多根阴线，直接挑战均线密集区。RSI和KDJ将快速由弱转强，但需注意，单日巨阳后偏离均线过远，技术上存在短期超买修复需求。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🔍 量化视角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资金流向背离：</w:t>
      </w:r>
      <w:r>
        <w:rPr>
          <w:rFonts w:ascii="微软雅黑" w:hAnsi="微软雅黑" w:eastAsia="微软雅黑"/>
          <w:color w:val="1A1A1A"/>
          <w:sz w:val="22"/>
        </w:rPr>
        <w:t>最核心的量化信号是“内外资流向的显著背离”。北向资金连续流出（尤其深市达21.4亿），而内资主力大单显示流入。这通常预示着短期市场将由内资定价，行情可能走向极端分化或快速轮动，而非稳定普涨。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市场宽度与强度：</w:t>
      </w:r>
      <w:r>
        <w:rPr>
          <w:rFonts w:ascii="微软雅黑" w:hAnsi="微软雅黑" w:eastAsia="微软雅黑"/>
          <w:color w:val="1A1A1A"/>
          <w:sz w:val="22"/>
        </w:rPr>
        <w:t>91.8%的上涨比例是极端信号，历史回测表明，此种普涨后一个交易日内部分化概率超过70%。真正的领涨主线（科技）有望延续强势，而被动跟涨的弱势股将迅速回调。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量价关系：</w:t>
      </w:r>
      <w:r>
        <w:rPr>
          <w:rFonts w:ascii="微软雅黑" w:hAnsi="微软雅黑" w:eastAsia="微软雅黑"/>
          <w:color w:val="1A1A1A"/>
          <w:sz w:val="22"/>
        </w:rPr>
        <w:t>在无增量成交额支撑下实现高弹性反攻，是典型的筹码锁定效应或空头回补。这确认了在当前位置，科技股的抛压阶段性衰竭，但持续上攻仍需后续量能验证。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🌐 宏观背景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通胀与增长：</w:t>
      </w:r>
      <w:r>
        <w:rPr>
          <w:rFonts w:ascii="微软雅黑" w:hAnsi="微软雅黑" w:eastAsia="微软雅黑"/>
          <w:color w:val="1A1A1A"/>
          <w:sz w:val="22"/>
        </w:rPr>
        <w:t>CPI维持1.0%的低位，PPI同比4.1%但环比转负（-0.3%），显示上游价格压力缓解。温和通胀环境为成长股估值扩张提供了土壤。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流动性：</w:t>
      </w:r>
      <w:r>
        <w:rPr>
          <w:rFonts w:ascii="微软雅黑" w:hAnsi="微软雅黑" w:eastAsia="微软雅黑"/>
          <w:color w:val="1A1A1A"/>
          <w:sz w:val="22"/>
        </w:rPr>
        <w:t>M2同比增长8.0%，社融存量同比增长7.4%，流动性环境维持充裕。LPR连续14个月未动（1Y 3.0%、5Y 3.5%），净息差处在1.4%的历史低位，进一步压缩了银行的绝对收益空间，但提升了权益市场（尤其是高成长的科技股）的相对吸引力。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PMI指引：</w:t>
      </w:r>
      <w:r>
        <w:rPr>
          <w:rFonts w:ascii="微软雅黑" w:hAnsi="微软雅黑" w:eastAsia="微软雅黑"/>
          <w:color w:val="1A1A1A"/>
          <w:sz w:val="22"/>
        </w:rPr>
        <w:t>制造业PMI 50.3，服务业PMI 50.4，双双处于扩张区间，宏观经济的韧性为结构性行情托底，排除了系统性风险的可能。市场在“弱复苏”背景下，偏向于寻找与总量经济关联度低的科技赛道。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⚠️ 风险提示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背离风险：</w:t>
      </w:r>
      <w:r>
        <w:rPr>
          <w:rFonts w:ascii="微软雅黑" w:hAnsi="微软雅黑" w:eastAsia="微软雅黑"/>
          <w:color w:val="1A1A1A"/>
          <w:sz w:val="22"/>
        </w:rPr>
        <w:t>量能与北向资金的双重背离是最大隐患。若后续无法放量突破，今日科技股的巨阳可能构成短期情绪极点，追高风险极大。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轮动过快：</w:t>
      </w:r>
      <w:r>
        <w:rPr>
          <w:rFonts w:ascii="微软雅黑" w:hAnsi="微软雅黑" w:eastAsia="微软雅黑"/>
          <w:color w:val="1A1A1A"/>
          <w:sz w:val="22"/>
        </w:rPr>
        <w:t>市场呈现极端的“抽血式”轮动，一旦科技主线后续资金不足，被抽血的周期板块也无法承接，市场可能面临快速轮跌。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明日关键看点：</w:t>
      </w:r>
      <w:r>
        <w:rPr>
          <w:rFonts w:ascii="微软雅黑" w:hAnsi="微软雅黑" w:eastAsia="微软雅黑"/>
          <w:color w:val="1A1A1A"/>
          <w:sz w:val="22"/>
        </w:rPr>
        <w:t>重点是观察北向资金是否停止流出甚至回流，以及科技龙头（如海川智能、宏景科技等）能否在巨量后维持强势震荡而非低开闷杀。创业板指需站稳在3350点之上巩固今日成果。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⚠️ 免责声明：本报告由 AI 自动生成，基于公开数据进行量化分析，仅供市场交流与参考，不构成任何投资建议。市场有风险，投资需谨慎，请投资者独立判断。</w:t>
      </w:r>
    </w:p>
    <w:p/>
    <w:p>
      <w:r>
        <w:rPr>
          <w:color w:val="8B949E"/>
          <w:sz w:val="16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