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午盘总结</w:t>
      </w:r>
    </w:p>
    <w:p>
      <w:pPr>
        <w:jc w:val="center"/>
      </w:pPr>
      <w:r>
        <w:rPr>
          <w:color w:val="8B949E"/>
          <w:sz w:val="20"/>
        </w:rPr>
        <w:t>2026-08-07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3919.69</w:t>
            </w:r>
          </w:p>
        </w:tc>
        <w:tc>
          <w:tcPr>
            <w:tcW w:type="dxa" w:w="2160"/>
          </w:tcPr>
          <w:p>
            <w:r>
              <w:t>+0.50%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14296.35</w:t>
            </w:r>
          </w:p>
        </w:tc>
        <w:tc>
          <w:tcPr>
            <w:tcW w:type="dxa" w:w="2160"/>
          </w:tcPr>
          <w:p>
            <w:r>
              <w:t>+1.32%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3577.54</w:t>
            </w:r>
          </w:p>
        </w:tc>
        <w:tc>
          <w:tcPr>
            <w:tcW w:type="dxa" w:w="2160"/>
          </w:tcPr>
          <w:p>
            <w:r>
              <w:t>+1.76%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1719.09</w:t>
            </w:r>
          </w:p>
        </w:tc>
        <w:tc>
          <w:tcPr>
            <w:tcW w:type="dxa" w:w="2160"/>
          </w:tcPr>
          <w:p>
            <w:r>
              <w:t>+1.05%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4690.37</w:t>
            </w:r>
          </w:p>
        </w:tc>
        <w:tc>
          <w:tcPr>
            <w:tcW w:type="dxa" w:w="2160"/>
          </w:tcPr>
          <w:p>
            <w:r>
              <w:t>+0.84%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7919.82</w:t>
            </w:r>
          </w:p>
        </w:tc>
        <w:tc>
          <w:tcPr>
            <w:tcW w:type="dxa" w:w="2160"/>
          </w:tcPr>
          <w:p>
            <w:r>
              <w:t>+1.16%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北向活跃度：成交 25600 亿（高活跃度）</w:t>
      </w:r>
    </w:p>
    <w:p>
      <w:r>
        <w:t xml:space="preserve">  沪/深偏好：沪市 42%（偏成长进攻）</w:t>
      </w:r>
    </w:p>
    <w:p>
      <w:r>
        <w:t xml:space="preserve">  南向资金：净卖出 7.3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注：北向净买入自2024年证监会新规后不再公开发布，方向由活跃度+南向+外部联动综合推断</w:t>
      </w:r>
    </w:p>
    <w:p>
      <w:r>
        <w:rPr>
          <w:b/>
        </w:rPr>
        <w:t>大资金方向（替代两融）：</w:t>
      </w:r>
      <w:r>
        <w:t>30 股聚合净流入 -48.06 亿  |  大单净 -50.51 亿  |  涨家 12 / 跌家 18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1.0%  |  PPI 4.1%  |  PMI 49.2  |  M2 8.0%  |  LPR 1Y 3.0%</w:t>
      </w:r>
    </w:p>
    <w:p/>
    <w:p>
      <w:pPr>
        <w:pStyle w:val="Heading2"/>
      </w:pPr>
      <w:r>
        <w:t>量化分析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⏰ 2026-08-07 午盘总结（11:30）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本时段核心变化是内资加速主导成长行情，南向资金从10:31的净卖出转为午盘持续净卖出，内资回流A股信号坚定。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上午A股走出教科书级的内资主导成长行情。深证成指+1.32%、创业板指+1.76%显著领先上证指数+0.50%，沪市偏好仅42%（偏成长进攻），中证500较上一时段加速上涨0.31pp，中小盘资金持续涌入。尽管外盘（道琼斯-0.85%、纳斯达克-0.06%）表现偏弱，A股走出独立于外围的强势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：上涨511家 vs 下跌470家（上涨率51.1%，涨停25家/跌停0家），整体赚钱效应温和，但结构性特征突出——涨幅集中在创业板和科创板。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：半日成交16,764亿，较上一时段（10:31）放量40.2%，较昨日同期显著放量，为近期半日量能高位。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外资监测（三维框架）</w:t>
      </w:r>
      <w:r>
        <w:rPr>
          <w:rFonts w:ascii="微软雅黑" w:hAnsi="微软雅黑" w:eastAsia="微软雅黑"/>
          <w:color w:val="1A1A1A"/>
          <w:sz w:val="22"/>
        </w:rPr>
        <w:t>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①</w:t>
      </w:r>
      <w:r>
        <w:rPr>
          <w:rFonts w:ascii="微软雅黑" w:hAnsi="微软雅黑" w:eastAsia="微软雅黑"/>
          <w:b/>
          <w:color w:val="D29922"/>
          <w:sz w:val="22"/>
        </w:rPr>
        <w:t>活跃度</w:t>
      </w:r>
      <w:r>
        <w:rPr>
          <w:rFonts w:ascii="微软雅黑" w:hAnsi="微软雅黑" w:eastAsia="微软雅黑"/>
          <w:color w:val="1A1A1A"/>
          <w:sz w:val="22"/>
        </w:rPr>
        <w:t>：北向半日成交25,600亿，参与热度极高，外资活跃。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②</w:t>
      </w:r>
      <w:r>
        <w:rPr>
          <w:rFonts w:ascii="微软雅黑" w:hAnsi="微软雅黑" w:eastAsia="微软雅黑"/>
          <w:b/>
          <w:color w:val="D29922"/>
          <w:sz w:val="22"/>
        </w:rPr>
        <w:t>沪/深偏好</w:t>
      </w:r>
      <w:r>
        <w:rPr>
          <w:rFonts w:ascii="微软雅黑" w:hAnsi="微软雅黑" w:eastAsia="微软雅黑"/>
          <w:color w:val="1A1A1A"/>
          <w:sz w:val="22"/>
        </w:rPr>
        <w:t>：沪市仅占41.6%，🟢 偏成长进攻——外资交易方向与内资高度一致，集中在深市成长股。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③</w:t>
      </w:r>
      <w:r>
        <w:rPr>
          <w:rFonts w:ascii="微软雅黑" w:hAnsi="微软雅黑" w:eastAsia="微软雅黑"/>
          <w:b/>
          <w:color w:val="D29922"/>
          <w:sz w:val="22"/>
        </w:rPr>
        <w:t>南向资金</w:t>
      </w:r>
      <w:r>
        <w:rPr>
          <w:rFonts w:ascii="微软雅黑" w:hAnsi="微软雅黑" w:eastAsia="微软雅黑"/>
          <w:color w:val="1A1A1A"/>
          <w:sz w:val="22"/>
        </w:rPr>
        <w:t>：净卖出7.27亿（上一时段净卖出4.47亿 → 净流出扩大），内资回流A股信号进一步加强。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④</w:t>
      </w:r>
      <w:r>
        <w:rPr>
          <w:rFonts w:ascii="微软雅黑" w:hAnsi="微软雅黑" w:eastAsia="微软雅黑"/>
          <w:b/>
          <w:color w:val="D29922"/>
          <w:sz w:val="22"/>
        </w:rPr>
        <w:t>外部联动</w:t>
      </w:r>
      <w:r>
        <w:rPr>
          <w:rFonts w:ascii="微软雅黑" w:hAnsi="微软雅黑" w:eastAsia="微软雅黑"/>
          <w:color w:val="1A1A1A"/>
          <w:sz w:val="22"/>
        </w:rPr>
        <w:t>：恒生科技+0.26%弱涨幅，离岸人民币微幅升值（6.7467），外部信号微弱，A股走势主要由内资驱动。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📊</w:t>
      </w:r>
      <w:r>
        <w:rPr>
          <w:rFonts w:ascii="微软雅黑" w:hAnsi="微软雅黑" w:eastAsia="微软雅黑"/>
          <w:b/>
          <w:color w:val="D29922"/>
          <w:sz w:val="22"/>
        </w:rPr>
        <w:t>综合判断</w:t>
      </w:r>
      <w:r>
        <w:rPr>
          <w:rFonts w:ascii="微软雅黑" w:hAnsi="微软雅黑" w:eastAsia="微软雅黑"/>
          <w:color w:val="1A1A1A"/>
          <w:sz w:val="22"/>
        </w:rPr>
        <w:t>：北向高活跃+南向净卖出加速 = 内外资共振A股，偏多。外资在深市积极交易，内资从港股回流，资金面呈现双重利好。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领涨板块</w:t>
      </w:r>
      <w:r>
        <w:rPr>
          <w:rFonts w:ascii="微软雅黑" w:hAnsi="微软雅黑" w:eastAsia="微软雅黑"/>
          <w:color w:val="1A1A1A"/>
          <w:sz w:val="22"/>
        </w:rPr>
        <w:t>：次新股（+1.72%）、有色金属（+0.65%）、电子器件（+0.48%）领涨。次新股受N展芯上市首日涨幅403%带动情绪；电子器件板块内PCB/芯片股出现涨停潮（方邦股份+20%、胜宏科技+11.8%、生益科技+10%），CRO/生物制药板块也显著走强（康龙化成+10.56%、凯莱英+10%），呈现"科技+医药"双轮驱动格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领跌板块</w:t>
      </w:r>
      <w:r>
        <w:rPr>
          <w:rFonts w:ascii="微软雅黑" w:hAnsi="微软雅黑" w:eastAsia="微软雅黑"/>
          <w:color w:val="1A1A1A"/>
          <w:sz w:val="22"/>
        </w:rPr>
        <w:t>：金融行业（-0.06%）、家电（-0.09%）、纺织（-0.09%）小幅回调。权重金融、家电板块的弱势与科技成长股的强势形成鲜明对比，印证资金从传统蓝筹切换至成长赛道的方向。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板块持续性判断</w:t>
      </w:r>
      <w:r>
        <w:rPr>
          <w:rFonts w:ascii="微软雅黑" w:hAnsi="微软雅黑" w:eastAsia="微软雅黑"/>
          <w:color w:val="1A1A1A"/>
          <w:sz w:val="22"/>
        </w:rPr>
        <w:t>：电子器件和CRO板块较昨日同期及前一交易日均显著加速上涨（创业板指较昨日同期大涨2.42pp），属于动能加速而非一日游脉冲。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（3,919.69，+0.50%）：较上一时段+0.21pp，横盘延续后加速。较昨日同期+0.49pp，由弱转强。量价配合良好，午后若守住3,900点，有望向上测试3,935一线。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创业板指</w:t>
      </w:r>
      <w:r>
        <w:rPr>
          <w:rFonts w:ascii="微软雅黑" w:hAnsi="微软雅黑" w:eastAsia="微软雅黑"/>
          <w:color w:val="1A1A1A"/>
          <w:sz w:val="22"/>
        </w:rPr>
        <w:t>（3,577.54，+1.76%）：⚠️</w:t>
      </w:r>
      <w:r>
        <w:rPr>
          <w:rFonts w:ascii="微软雅黑" w:hAnsi="微软雅黑" w:eastAsia="微软雅黑"/>
          <w:b/>
          <w:color w:val="D29922"/>
          <w:sz w:val="22"/>
        </w:rPr>
        <w:t>异常信号</w:t>
      </w:r>
      <w:r>
        <w:rPr>
          <w:rFonts w:ascii="微软雅黑" w:hAnsi="微软雅黑" w:eastAsia="微软雅黑"/>
          <w:color w:val="1A1A1A"/>
          <w:sz w:val="22"/>
        </w:rPr>
        <w:t>——较昨日同期暴涨2.42pp，出现动能突变。这是今日盘面最值得关注的信号，创业板指从昨日的低迷突然爆发，且成交量放大，若午后能维持涨幅，意味着中期做多窗口打开。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中证500</w:t>
      </w:r>
      <w:r>
        <w:rPr>
          <w:rFonts w:ascii="微软雅黑" w:hAnsi="微软雅黑" w:eastAsia="微软雅黑"/>
          <w:color w:val="1A1A1A"/>
          <w:sz w:val="22"/>
        </w:rPr>
        <w:t>（7,919.82，+1.16%）：较上一时段+0.31pp，加速上涨。中小盘宽基指数领涨，显示资金全面涌入中小市值品种。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：半日量能16,764亿属异常放量，为近期半日最高水平。量增价涨，动能健康。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新浪资金流采样30只个股，大单/特大单净流出50.51亿，总净流出48.06亿。值得注意的信号——尽管大单统计显示净流出，但市场整体上涨，说明中小单的买入力量（散户+游资+小型机构）完全承接了大单卖出，这是典型的游资/散户主导行情的特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：上涨率仅51.1%，指数涨幅远高于上涨家数比例，说明行情高度集中在少数权重成长股中，非普涨格局。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量价结构</w:t>
      </w:r>
      <w:r>
        <w:rPr>
          <w:rFonts w:ascii="微软雅黑" w:hAnsi="微软雅黑" w:eastAsia="微软雅黑"/>
          <w:color w:val="1A1A1A"/>
          <w:sz w:val="22"/>
        </w:rPr>
        <w:t>：创业板指放量突破，较昨日同期+2.42pp是标准的突破形态。结合电子板块涨停家数快速增加，量价突破信号可信度较高。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轮动节奏</w:t>
      </w:r>
      <w:r>
        <w:rPr>
          <w:rFonts w:ascii="微软雅黑" w:hAnsi="微软雅黑" w:eastAsia="微软雅黑"/>
          <w:color w:val="1A1A1A"/>
          <w:sz w:val="22"/>
        </w:rPr>
        <w:t>：金融/家电逆市下跌 vs 电子/医药暴涨，板块间极端分化。这种高度集中的轮动，意味着一旦科技主线走弱，盘面将缺乏其他权重板块承接，需警惕高位成长股的波动风险。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PMI回落实质影响有限</w:t>
      </w:r>
      <w:r>
        <w:rPr>
          <w:rFonts w:ascii="微软雅黑" w:hAnsi="微软雅黑" w:eastAsia="微软雅黑"/>
          <w:color w:val="1A1A1A"/>
          <w:sz w:val="22"/>
        </w:rPr>
        <w:t>：7月制造业PMI 49.2（5个月最低且跌破荣枯线），但分项显示高技术制造业PMI 53.3%逆势扩张。当前市场的"科技+医药"行情与这一宏观结构高度吻合——资金正向符合政策导向的高端制造/生物医药集中。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流动性环境友好</w:t>
      </w:r>
      <w:r>
        <w:rPr>
          <w:rFonts w:ascii="微软雅黑" w:hAnsi="微软雅黑" w:eastAsia="微软雅黑"/>
          <w:color w:val="1A1A1A"/>
          <w:sz w:val="22"/>
        </w:rPr>
        <w:t>：LPR 1Y 3.0%/5Y 3.5%（7月20日维持不变），M2同比+8.0%，虽无边际宽松，但也无收紧预期。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汇率稳定</w:t>
      </w:r>
      <w:r>
        <w:rPr>
          <w:rFonts w:ascii="微软雅黑" w:hAnsi="微软雅黑" w:eastAsia="微软雅黑"/>
          <w:color w:val="1A1A1A"/>
          <w:sz w:val="22"/>
        </w:rPr>
        <w:t>：在岸人民币6.7465（升值），离岸6.7467同步升值，外部资金环境对A股偏正面。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⚠️ 创业板指动能突变</w:t>
      </w:r>
      <w:r>
        <w:rPr>
          <w:rFonts w:ascii="微软雅黑" w:hAnsi="微软雅黑" w:eastAsia="微软雅黑"/>
          <w:color w:val="1A1A1A"/>
          <w:sz w:val="22"/>
        </w:rPr>
        <w:t>：较昨日同期+2.42pp的加速度，若午后无法维持（涨幅</w:t>
      </w:r>
      <w:r>
        <w:rPr>
          <w:rFonts w:ascii="微软雅黑" w:hAnsi="微软雅黑" w:eastAsia="微软雅黑"/>
          <w:color w:val="1A1A1A"/>
          <w:sz w:val="22"/>
        </w:rPr>
        <w:t>&lt;</w:t>
      </w:r>
      <w:r>
        <w:rPr>
          <w:rFonts w:ascii="微软雅黑" w:hAnsi="微软雅黑" w:eastAsia="微软雅黑"/>
          <w:color w:val="1A1A1A"/>
          <w:sz w:val="22"/>
        </w:rPr>
        <w:t>1%），可能形成多头陷阱。关注创业板指3,550点的支撑。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⚠️ 板块极端分化</w:t>
      </w:r>
      <w:r>
        <w:rPr>
          <w:rFonts w:ascii="微软雅黑" w:hAnsi="微软雅黑" w:eastAsia="微软雅黑"/>
          <w:color w:val="1A1A1A"/>
          <w:sz w:val="22"/>
        </w:rPr>
        <w:t>：金融+家电逆市下跌，科技股独大。若午后科技龙头炸板（如方邦股份、胜宏科技封板松动），可能导致指数快速回落。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⚠️ 大单净流出背离</w:t>
      </w:r>
      <w:r>
        <w:rPr>
          <w:rFonts w:ascii="微软雅黑" w:hAnsi="微软雅黑" w:eastAsia="微软雅黑"/>
          <w:color w:val="1A1A1A"/>
          <w:sz w:val="22"/>
        </w:rPr>
        <w:t>：大单/特大单50.51亿净流出与指数上涨背离，说明主力资金在科技股高位存在分歧，部分资金选择兑现。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⚠️ 外盘风险</w:t>
      </w:r>
      <w:r>
        <w:rPr>
          <w:rFonts w:ascii="微软雅黑" w:hAnsi="微软雅黑" w:eastAsia="微软雅黑"/>
          <w:color w:val="1A1A1A"/>
          <w:sz w:val="22"/>
        </w:rPr>
        <w:t>：隔夜道琼斯-0.85%，纳斯达克-0.06%，外部环境并不乐观。A股午后需独立于外盘走强，才可确认今日突破的有效性。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免责声明：本报告由 AI 自动生成，基于公开数据源进行量化分析，仅供参考，不构成任何投资建议。投资有风险，入市需谨慎。报告中的数据来源于公开接口，不对其准确性做任何保证。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