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2026-07-30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3804.69</w:t>
            </w:r>
          </w:p>
        </w:tc>
        <w:tc>
          <w:tcPr>
            <w:tcW w:type="dxa" w:w="2160"/>
          </w:tcPr>
          <w:p>
            <w:r>
              <w:t>-0.62%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13285.80</w:t>
            </w:r>
          </w:p>
        </w:tc>
        <w:tc>
          <w:tcPr>
            <w:tcW w:type="dxa" w:w="2160"/>
          </w:tcPr>
          <w:p>
            <w:r>
              <w:t>-2.73%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3244.62</w:t>
            </w:r>
          </w:p>
        </w:tc>
        <w:tc>
          <w:tcPr>
            <w:tcW w:type="dxa" w:w="2160"/>
          </w:tcPr>
          <w:p>
            <w:r>
              <w:t>-3.97%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1588.41</w:t>
            </w:r>
          </w:p>
        </w:tc>
        <w:tc>
          <w:tcPr>
            <w:tcW w:type="dxa" w:w="2160"/>
          </w:tcPr>
          <w:p>
            <w:r>
              <w:t>-5.38%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4549.72</w:t>
            </w:r>
          </w:p>
        </w:tc>
        <w:tc>
          <w:tcPr>
            <w:tcW w:type="dxa" w:w="2160"/>
          </w:tcPr>
          <w:p>
            <w:r>
              <w:t>-1.10%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7309.58</w:t>
            </w:r>
          </w:p>
        </w:tc>
        <w:tc>
          <w:tcPr>
            <w:tcW w:type="dxa" w:w="2160"/>
          </w:tcPr>
          <w:p>
            <w:r>
              <w:t>-2.86%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北向资金：净流出 30.68 亿</w:t>
      </w:r>
      <w:r>
        <w:t xml:space="preserve">  |  沪股通 -9.28 亿  |  数据源: hexin</w:t>
      </w:r>
    </w:p>
    <w:p>
      <w:r>
        <w:rPr>
          <w:b/>
        </w:rPr>
        <w:t>大资金方向（替代两融）：</w:t>
      </w:r>
      <w:r>
        <w:t>30 股聚合净流入 109.82 亿  |  大单净 110.09 亿  |  涨家 25 / 跌家 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1.0%  |  PPI 4.1%  |  PMI 50.3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今日A股单边下行，双创板块重挫，科创50跌幅高达5.38%。全市场仅193只个股收红，近800只下跌，亏钱效应显著。短期市场风险偏好急剧收缩，成长赛道遭遇情绪与资金双重打压。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📈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：193:797（涨跌停比 11:80），市场宽度极差，空方占据绝对主导。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：全日数据暂缺，但从主要指数量柱看为放量下跌形态，卖压沉重。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北向资金</w:t>
      </w:r>
      <w:r>
        <w:rPr>
          <w:rFonts w:ascii="微软雅黑" w:hAnsi="微软雅黑" w:eastAsia="微软雅黑"/>
          <w:color w:val="1A1A1A"/>
          <w:sz w:val="22"/>
        </w:rPr>
        <w:t>：全天净流出30.68亿元，其中深股通净流出21.4亿，与科技股主跌相呼应，显示外资同步减仓风险资产。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大单资金</w:t>
      </w:r>
      <w:r>
        <w:rPr>
          <w:rFonts w:ascii="微软雅黑" w:hAnsi="微软雅黑" w:eastAsia="微软雅黑"/>
          <w:color w:val="1A1A1A"/>
          <w:sz w:val="22"/>
        </w:rPr>
        <w:t>：样本数据异常，统计显示百亿级超大单净流入，与今日普跌格局严重背离，该数据点暂视为噪音，需明日验证。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🔥 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领涨方向</w:t>
      </w:r>
      <w:r>
        <w:rPr>
          <w:rFonts w:ascii="微软雅黑" w:hAnsi="微软雅黑" w:eastAsia="微软雅黑"/>
          <w:color w:val="1A1A1A"/>
          <w:sz w:val="22"/>
        </w:rPr>
        <w:t>：资金涌入防御性内需板块。</w:t>
      </w:r>
      <w:r>
        <w:rPr>
          <w:rFonts w:ascii="微软雅黑" w:hAnsi="微软雅黑" w:eastAsia="微软雅黑"/>
          <w:color w:val="1A1A1A"/>
          <w:sz w:val="22"/>
        </w:rPr>
        <w:t>酿酒行业</w:t>
      </w:r>
      <w:r>
        <w:rPr>
          <w:rFonts w:ascii="微软雅黑" w:hAnsi="微软雅黑" w:eastAsia="微软雅黑"/>
          <w:color w:val="1A1A1A"/>
          <w:sz w:val="22"/>
        </w:rPr>
        <w:t>（+2.21%）一枝独秀，金融、石油等低估值蓝筹微幅收红，护盘意图明显但拉抬效果有限，属标准的避险交易。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杀跌重灾区</w:t>
      </w:r>
      <w:r>
        <w:rPr>
          <w:rFonts w:ascii="微软雅黑" w:hAnsi="微软雅黑" w:eastAsia="微软雅黑"/>
          <w:color w:val="1A1A1A"/>
          <w:sz w:val="22"/>
        </w:rPr>
        <w:t>：</w:t>
      </w:r>
      <w:r>
        <w:rPr>
          <w:rFonts w:ascii="微软雅黑" w:hAnsi="微软雅黑" w:eastAsia="微软雅黑"/>
          <w:color w:val="1A1A1A"/>
          <w:sz w:val="22"/>
        </w:rPr>
        <w:t>次新股</w:t>
      </w:r>
      <w:r>
        <w:rPr>
          <w:rFonts w:ascii="微软雅黑" w:hAnsi="微软雅黑" w:eastAsia="微软雅黑"/>
          <w:color w:val="1A1A1A"/>
          <w:sz w:val="22"/>
        </w:rPr>
        <w:t>（-5.19%）成为空方宣泄主战场，电子、机械、仪器仪表等科技制造类板块全线回调。这反映出资金在财报季末期加速从高估值、高波动方向撤离，回归业绩确定性。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逻辑驱动</w:t>
      </w:r>
      <w:r>
        <w:rPr>
          <w:rFonts w:ascii="微软雅黑" w:hAnsi="微软雅黑" w:eastAsia="微软雅黑"/>
          <w:color w:val="1A1A1A"/>
          <w:sz w:val="22"/>
        </w:rPr>
        <w:t>：隔夜美股纳指大跌（-1.74%）压制了国内科技股情绪，叠加北向流出与内部获利了结需求，形成负反馈循环。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📉 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：收跌0.62%，相对抗跌，目前仍守于关键均线之上，MACD红柱缩短，RSI自高位回落，属强势整理中的回调。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：放量长阴（-3.97%），一阴穿多线，短期均线系统已呈空头排列雏形。RSI与KDJ高位死叉向下发散，构成标准的短期顶部看空结构。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：断头铡刀式放量暴跌（-5.38%），指数创阶段收盘新低，日线MACD形成死叉，绿柱出现。几乎确认上升趋势终结，进入左侧寻底或筑底阶段。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沪深300</w:t>
      </w:r>
      <w:r>
        <w:rPr>
          <w:rFonts w:ascii="微软雅黑" w:hAnsi="微软雅黑" w:eastAsia="微软雅黑"/>
          <w:color w:val="1A1A1A"/>
          <w:sz w:val="22"/>
        </w:rPr>
        <w:t>与</w:t>
      </w:r>
      <w:r>
        <w:rPr>
          <w:rFonts w:ascii="微软雅黑" w:hAnsi="微软雅黑" w:eastAsia="微软雅黑"/>
          <w:color w:val="1A1A1A"/>
          <w:sz w:val="22"/>
        </w:rPr>
        <w:t>中证500</w:t>
      </w:r>
      <w:r>
        <w:rPr>
          <w:rFonts w:ascii="微软雅黑" w:hAnsi="微软雅黑" w:eastAsia="微软雅黑"/>
          <w:color w:val="1A1A1A"/>
          <w:sz w:val="22"/>
        </w:rPr>
        <w:t>：分别下跌1.1%和2.86%，500指跌幅明显大于300，中小盘风格抛压最甚。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🔍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：北向净流出主要指向深市，与中小创、科创板的弱势互为验证。主力资金从科技成长向消费价值板块的迁移路径清晰。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：多数指数呈放量长阴，是典型的“价跌量增”出货形态，尤其以双创板最为典型。恐慌盘与技术性抛盘共振。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：上涨比例仅19.3%，远低于30%的健康水平，且跌停家数达80家，创近期新高。市场情绪进入冰点，短期或有技术性修复需求，但整体转弱信号已确立。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🌍 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通胀与景气</w:t>
      </w:r>
      <w:r>
        <w:rPr>
          <w:rFonts w:ascii="微软雅黑" w:hAnsi="微软雅黑" w:eastAsia="微软雅黑"/>
          <w:color w:val="1A1A1A"/>
          <w:sz w:val="22"/>
        </w:rPr>
        <w:t>：6月CPI温和（1.0%），PPI高位（4.1%）但环比回落，制造业PMI（50.3）处于扩张区间边缘，经济呈“类滞胀”特征下的弱复苏。这整体不利于成长股的高估值维系。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：M2增速（8.0%）与社融增量同比少增，显示信用扩张力度偏弱。LPR连续14个月不变，市场缺乏增量政策利好刺激，对流动性高度敏感的科技板块承压。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外部环境</w:t>
      </w:r>
      <w:r>
        <w:rPr>
          <w:rFonts w:ascii="微软雅黑" w:hAnsi="微软雅黑" w:eastAsia="微软雅黑"/>
          <w:color w:val="1A1A1A"/>
          <w:sz w:val="22"/>
        </w:rPr>
        <w:t>：隔夜美股科技股遭抛售，道指重挫2.19%，直接导致今日A股开盘情绪冰点，成为下跌的主要外部催化剂。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⚠️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外部风险传导</w:t>
      </w:r>
      <w:r>
        <w:rPr>
          <w:rFonts w:ascii="微软雅黑" w:hAnsi="微软雅黑" w:eastAsia="微软雅黑"/>
          <w:color w:val="1A1A1A"/>
          <w:sz w:val="22"/>
        </w:rPr>
        <w:t>：若美股科技板块回调形成趋势，将对A股双创及半导体等高位板块构成持续的估值压力。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成长股流动性风险</w:t>
      </w:r>
      <w:r>
        <w:rPr>
          <w:rFonts w:ascii="微软雅黑" w:hAnsi="微软雅黑" w:eastAsia="微软雅黑"/>
          <w:color w:val="1A1A1A"/>
          <w:sz w:val="22"/>
        </w:rPr>
        <w:t>：今日次新及科技股大跌显示买盘稀疏，一旦触发止损盘及融资盘，短期踩踏风险不可忽视。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风格切换陷阱</w:t>
      </w:r>
      <w:r>
        <w:rPr>
          <w:rFonts w:ascii="微软雅黑" w:hAnsi="微软雅黑" w:eastAsia="微软雅黑"/>
          <w:color w:val="1A1A1A"/>
          <w:sz w:val="22"/>
        </w:rPr>
        <w:t>：防御性板块的脉冲性上涨难以形成趋势，追高风险大。需警惕指数企稳后，资金是否重新回流高景气赛道，切勿盲目切换。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