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 股量化报告 — 收盘报告</w:t>
      </w:r>
    </w:p>
    <w:p>
      <w:pPr>
        <w:jc w:val="center"/>
      </w:pPr>
      <w:r>
        <w:rPr>
          <w:color w:val="8B949E"/>
          <w:sz w:val="20"/>
        </w:rPr>
        <w:t>2026-07-31  |  模型: DeepSeek  |  量化交易视角</w:t>
      </w:r>
    </w:p>
    <w:p>
      <w:pPr>
        <w:pStyle w:val="Heading2"/>
      </w:pPr>
      <w:r>
        <w:t>核心指标速览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指数</w:t>
            </w:r>
          </w:p>
        </w:tc>
        <w:tc>
          <w:tcPr>
            <w:tcW w:type="dxa" w:w="2160"/>
          </w:tcPr>
          <w:p>
            <w:r>
              <w:t>点位</w:t>
            </w:r>
          </w:p>
        </w:tc>
        <w:tc>
          <w:tcPr>
            <w:tcW w:type="dxa" w:w="2160"/>
          </w:tcPr>
          <w:p>
            <w:r>
              <w:t>涨跌幅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上证指数</w:t>
            </w:r>
          </w:p>
        </w:tc>
        <w:tc>
          <w:tcPr>
            <w:tcW w:type="dxa" w:w="2160"/>
          </w:tcPr>
          <w:p>
            <w:r>
              <w:t>3840.64</w:t>
            </w:r>
          </w:p>
        </w:tc>
        <w:tc>
          <w:tcPr>
            <w:tcW w:type="dxa" w:w="2160"/>
          </w:tcPr>
          <w:p>
            <w:r>
              <w:t>+0.94%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深证成指</w:t>
            </w:r>
          </w:p>
        </w:tc>
        <w:tc>
          <w:tcPr>
            <w:tcW w:type="dxa" w:w="2160"/>
          </w:tcPr>
          <w:p>
            <w:r>
              <w:t>13669.17</w:t>
            </w:r>
          </w:p>
        </w:tc>
        <w:tc>
          <w:tcPr>
            <w:tcW w:type="dxa" w:w="2160"/>
          </w:tcPr>
          <w:p>
            <w:r>
              <w:t>+2.89%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创业板指</w:t>
            </w:r>
          </w:p>
        </w:tc>
        <w:tc>
          <w:tcPr>
            <w:tcW w:type="dxa" w:w="2160"/>
          </w:tcPr>
          <w:p>
            <w:r>
              <w:t>3379.19</w:t>
            </w:r>
          </w:p>
        </w:tc>
        <w:tc>
          <w:tcPr>
            <w:tcW w:type="dxa" w:w="2160"/>
          </w:tcPr>
          <w:p>
            <w:r>
              <w:t>+4.15%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科创50</w:t>
            </w:r>
          </w:p>
        </w:tc>
        <w:tc>
          <w:tcPr>
            <w:tcW w:type="dxa" w:w="2160"/>
          </w:tcPr>
          <w:p>
            <w:r>
              <w:t>1659.12</w:t>
            </w:r>
          </w:p>
        </w:tc>
        <w:tc>
          <w:tcPr>
            <w:tcW w:type="dxa" w:w="2160"/>
          </w:tcPr>
          <w:p>
            <w:r>
              <w:t>+4.45%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沪深300</w:t>
            </w:r>
          </w:p>
        </w:tc>
        <w:tc>
          <w:tcPr>
            <w:tcW w:type="dxa" w:w="2160"/>
          </w:tcPr>
          <w:p>
            <w:r>
              <w:t>4606.62</w:t>
            </w:r>
          </w:p>
        </w:tc>
        <w:tc>
          <w:tcPr>
            <w:tcW w:type="dxa" w:w="2160"/>
          </w:tcPr>
          <w:p>
            <w:r>
              <w:t>+1.25%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中证500</w:t>
            </w:r>
          </w:p>
        </w:tc>
        <w:tc>
          <w:tcPr>
            <w:tcW w:type="dxa" w:w="2160"/>
          </w:tcPr>
          <w:p>
            <w:r>
              <w:t>7545.37</w:t>
            </w:r>
          </w:p>
        </w:tc>
        <w:tc>
          <w:tcPr>
            <w:tcW w:type="dxa" w:w="2160"/>
          </w:tcPr>
          <w:p>
            <w:r>
              <w:t>+3.23%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/>
        </w:rPr>
        <w:t>北向资金：净流出 30.68 亿</w:t>
      </w:r>
      <w:r>
        <w:t xml:space="preserve">  |  沪股通 -9.28 亿  |  数据源: hexin</w:t>
      </w:r>
    </w:p>
    <w:p>
      <w:r>
        <w:rPr>
          <w:b/>
        </w:rPr>
        <w:t>大资金方向（替代两融）：</w:t>
      </w:r>
      <w:r>
        <w:t>30 股聚合净流入 109.82 亿  |  大单净 110.09 亿  |  涨家 25 / 跌家 5</w:t>
      </w:r>
      <w:r>
        <w:rPr>
          <w:color w:val="8B949E"/>
          <w:sz w:val="18"/>
        </w:rPr>
        <w:br/>
        <w:t>注：数据来自新浪资金流（大单/特大单估算），非融资融券官方数据，仅供参考大资金方向</w:t>
      </w:r>
    </w:p>
    <w:p>
      <w:r>
        <w:rPr>
          <w:b/>
        </w:rPr>
        <w:t>宏观数据：</w:t>
      </w:r>
      <w:r>
        <w:t>CPI 1.0%  |  PPI 4.1%  |  PMI 50.3  |  M2 8.0%  |  LPR 1Y 3.0%</w:t>
      </w:r>
    </w:p>
    <w:p/>
    <w:p>
      <w:pPr>
        <w:pStyle w:val="Heading2"/>
      </w:pPr>
      <w:r>
        <w:t>量化分析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📊 市场概览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今日市场呈现普涨格局，市场情绪显著回暖。全市场超过93%的个股收红，84家个股涨停，无一跌停，赚钱效应极佳。但值得注意的是，主要指数高开后有所回落，实体阳线较短，且北向资金逆势净流出，形成微妙分歧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📈 核心指标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涨跌比</w:t>
      </w:r>
      <w:r>
        <w:rPr>
          <w:rFonts w:ascii="微软雅黑" w:hAnsi="微软雅黑" w:eastAsia="微软雅黑"/>
          <w:color w:val="1A1A1A"/>
          <w:sz w:val="22"/>
        </w:rPr>
        <w:t>：938 : 56，极端多头优势，市场宽度极佳。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成交额</w:t>
      </w:r>
      <w:r>
        <w:rPr>
          <w:rFonts w:ascii="微软雅黑" w:hAnsi="微软雅黑" w:eastAsia="微软雅黑"/>
          <w:color w:val="1A1A1A"/>
          <w:sz w:val="22"/>
        </w:rPr>
        <w:t>：全日成交额估算约2.29万亿，较前日显著放量，但主要集中在早盘冲高阶段。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北向资金</w:t>
      </w:r>
      <w:r>
        <w:rPr>
          <w:rFonts w:ascii="微软雅黑" w:hAnsi="微软雅黑" w:eastAsia="微软雅黑"/>
          <w:color w:val="1A1A1A"/>
          <w:sz w:val="22"/>
        </w:rPr>
        <w:t>：净流出30.68亿，其中深股通净流出21.4亿。指数大涨与聪明钱流出形成背离，是短期值得警惕的信号。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资金流</w:t>
      </w:r>
      <w:r>
        <w:rPr>
          <w:rFonts w:ascii="微软雅黑" w:hAnsi="微软雅黑" w:eastAsia="微软雅黑"/>
          <w:color w:val="1A1A1A"/>
          <w:sz w:val="22"/>
        </w:rPr>
        <w:t>：样本数据显示大单资金净流入超110亿，显示内资主力是本日做多主导力量。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🔥 板块热点</w:t>
      </w:r>
    </w:p>
    <w:p>
      <w:pPr>
        <w:spacing w:after="120"/>
      </w:pPr>
      <w:r>
        <w:rPr>
          <w:rFonts w:ascii="微软雅黑" w:hAnsi="微软雅黑" w:eastAsia="微软雅黑"/>
          <w:b/>
          <w:color w:val="D29922"/>
          <w:sz w:val="22"/>
        </w:rPr>
        <w:t>领涨：</w:t>
      </w:r>
      <w:r>
        <w:rPr>
          <w:rFonts w:ascii="微软雅黑" w:hAnsi="微软雅黑" w:eastAsia="微软雅黑"/>
          <w:color w:val="1A1A1A"/>
          <w:sz w:val="22"/>
        </w:rPr>
        <w:t>次新股（+3.63%）板块爆发，成为情绪风向标。电子器件（+0.98%）、电子信息（+0.77%）和机械行业（+0.71%）紧随其后，显示资金围绕科技成长和高端制造两大主线进行攻击。这与昨夜美股纳斯达克大涨2.78%形成映射。</w:t>
      </w:r>
    </w:p>
    <w:p>
      <w:pPr>
        <w:spacing w:after="120"/>
      </w:pPr>
      <w:r>
        <w:rPr>
          <w:rFonts w:ascii="微软雅黑" w:hAnsi="微软雅黑" w:eastAsia="微软雅黑"/>
          <w:b/>
          <w:color w:val="D29922"/>
          <w:sz w:val="22"/>
        </w:rPr>
        <w:t>领跌：</w:t>
      </w:r>
      <w:r>
        <w:rPr>
          <w:rFonts w:ascii="微软雅黑" w:hAnsi="微软雅黑" w:eastAsia="微软雅黑"/>
          <w:color w:val="1A1A1A"/>
          <w:sz w:val="22"/>
        </w:rPr>
        <w:t>酿酒行业（-0.29%）独自下跌，防御性板块遭资金抛弃，验证了市场风险偏好急剧抬升的盘面特征。涨停榜上，昆仑万维、蓝色光标等AI应用概念股批量涨停，成为最强分支。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📉 技术信号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上证指数</w:t>
      </w:r>
      <w:r>
        <w:rPr>
          <w:rFonts w:ascii="微软雅黑" w:hAnsi="微软雅黑" w:eastAsia="微软雅黑"/>
          <w:color w:val="1A1A1A"/>
          <w:sz w:val="22"/>
        </w:rPr>
        <w:t>：跳空高开后维持震荡。日线级别脱离前期盘整平台，MACD金叉红柱放大，但K线实体较小，显示3850点上方存在短期压力。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科创50</w:t>
      </w:r>
      <w:r>
        <w:rPr>
          <w:rFonts w:ascii="微软雅黑" w:hAnsi="微软雅黑" w:eastAsia="微软雅黑"/>
          <w:color w:val="1A1A1A"/>
          <w:sz w:val="22"/>
        </w:rPr>
        <w:t>：表现最强，涨幅达4.45%。指数高开低走，开盘价1721.36即是日内高点，形态上收出“假阴线”。RSI进入超买区，短期有震荡消化需求。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创业板指</w:t>
      </w:r>
      <w:r>
        <w:rPr>
          <w:rFonts w:ascii="微软雅黑" w:hAnsi="微软雅黑" w:eastAsia="微软雅黑"/>
          <w:color w:val="1A1A1A"/>
          <w:sz w:val="22"/>
        </w:rPr>
        <w:t>：大涨4.15%，量能充沛。指数已完全收复近期失地，但同样面临高开低走的K线形态，追高风险收益比一般。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🔍 量化视角</w:t>
      </w:r>
    </w:p>
    <w:p>
      <w:pPr>
        <w:spacing w:after="120"/>
      </w:pPr>
      <w:r>
        <w:rPr>
          <w:rFonts w:ascii="微软雅黑" w:hAnsi="微软雅黑" w:eastAsia="微软雅黑"/>
          <w:b/>
          <w:color w:val="D29922"/>
          <w:sz w:val="22"/>
        </w:rPr>
        <w:t>量价关系：</w:t>
      </w:r>
      <w:r>
        <w:rPr>
          <w:rFonts w:ascii="微软雅黑" w:hAnsi="微软雅黑" w:eastAsia="微软雅黑"/>
          <w:color w:val="1A1A1A"/>
          <w:sz w:val="22"/>
        </w:rPr>
        <w:t>“放量滞涨”迹象初显。各大指数成交额巨大，但K线实体涨幅远小于开盘涨幅，表明在当前位置，多空分歧加大，部分资金借高开兑现。</w:t>
      </w:r>
    </w:p>
    <w:p>
      <w:pPr>
        <w:spacing w:after="120"/>
      </w:pPr>
      <w:r>
        <w:rPr>
          <w:rFonts w:ascii="微软雅黑" w:hAnsi="微软雅黑" w:eastAsia="微软雅黑"/>
          <w:b/>
          <w:color w:val="D29922"/>
          <w:sz w:val="22"/>
        </w:rPr>
        <w:t>市场宽度：</w:t>
      </w:r>
      <w:r>
        <w:rPr>
          <w:rFonts w:ascii="微软雅黑" w:hAnsi="微软雅黑" w:eastAsia="微软雅黑"/>
          <w:color w:val="1A1A1A"/>
          <w:sz w:val="22"/>
        </w:rPr>
        <w:t>极端宽度（93.8%）通常预示着短期情绪高潮，次日分化概率极大。历史数据显示，如此高的上涨比例后，次日跌停家数大概率会回升。</w:t>
      </w:r>
    </w:p>
    <w:p>
      <w:pPr>
        <w:spacing w:after="120"/>
      </w:pPr>
      <w:r>
        <w:rPr>
          <w:rFonts w:ascii="微软雅黑" w:hAnsi="微软雅黑" w:eastAsia="微软雅黑"/>
          <w:b/>
          <w:color w:val="D29922"/>
          <w:sz w:val="22"/>
        </w:rPr>
        <w:t>资金背离：</w:t>
      </w:r>
      <w:r>
        <w:rPr>
          <w:rFonts w:ascii="微软雅黑" w:hAnsi="微软雅黑" w:eastAsia="微软雅黑"/>
          <w:color w:val="1A1A1A"/>
          <w:sz w:val="22"/>
        </w:rPr>
        <w:t>北向资金净流出与指数大涨的背离，以及大单资金净流入与总成交额的匹配度，需在后续交易日持续跟踪。若北向连续流出，这对本轮反弹的持续性将构成挑战。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🌍 宏观背景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宏观数据面保持平稳，6月PMI（50.3）仍处扩张区，CPI温和上涨1.0%，为市场提供了稳定的基本面环境。LPR连续14个月不变，显示货币政策定力十足。商业银行净息差处于历史低位（1.4%），制约了金融板块的盈利弹性，资金因此更偏好对利率不敏感的科技成长股。短期流动性无虞，支撑结构性行情展开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⚠️ 风险提示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1. **情绪高潮后的分化风险**：93.8%的上涨比例已是极致数据，明日个股大概率大幅分化，追高后排跟风股风险极高。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2. **北向资金背离风险**：指数大涨而北向净流出是明确的警示信号，需警惕其行为的持续性。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3. **高开低走的引力**：各大指数普遍高开低走，若次日无法快速反包今日开盘价，可能形成短期技术性顶部。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4. **主线稳定性考验**：AI应用概念股多为PE畸高或为负的品种，由情绪和资金驱动，波动剧烈，其持续性决定了本轮反弹的高度。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⚠️ 免责声明：本报告由 AI 自动生成，仅供参考，不构成任何投资建议。投资有风险，入市需谨慎。报告中的数据来源于公开接口，不对其准确性做任何保证。</w:t>
      </w:r>
    </w:p>
    <w:p/>
    <w:p>
      <w:r>
        <w:rPr>
          <w:color w:val="8B949E"/>
          <w:sz w:val="16"/>
        </w:rPr>
        <w:t>⚠️ 免责声明：本报告由 AI 自动生成，仅供参考，不构成任何投资建议。投资有风险，入市需谨慎。报告中的数据来源于公开接口，不对其准确性做任何保证。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