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3963.24</w:t>
            </w:r>
          </w:p>
        </w:tc>
        <w:tc>
          <w:tcPr>
            <w:tcW w:type="dxa" w:w="2160"/>
          </w:tcPr>
          <w:p>
            <w:r>
              <w:t>+0.42%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14521.77</w:t>
            </w:r>
          </w:p>
        </w:tc>
        <w:tc>
          <w:tcPr>
            <w:tcW w:type="dxa" w:w="2160"/>
          </w:tcPr>
          <w:p>
            <w:r>
              <w:t>+0.74%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3660.41</w:t>
            </w:r>
          </w:p>
        </w:tc>
        <w:tc>
          <w:tcPr>
            <w:tcW w:type="dxa" w:w="2160"/>
          </w:tcPr>
          <w:p>
            <w:r>
              <w:t>+1.62%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1770.08</w:t>
            </w:r>
          </w:p>
        </w:tc>
        <w:tc>
          <w:tcPr>
            <w:tcW w:type="dxa" w:w="2160"/>
          </w:tcPr>
          <w:p>
            <w:r>
              <w:t>+1.91%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4714.33</w:t>
            </w:r>
          </w:p>
        </w:tc>
        <w:tc>
          <w:tcPr>
            <w:tcW w:type="dxa" w:w="2160"/>
          </w:tcPr>
          <w:p>
            <w:r>
              <w:t>+0.50%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8114.13</w:t>
            </w:r>
          </w:p>
        </w:tc>
        <w:tc>
          <w:tcPr>
            <w:tcW w:type="dxa" w:w="2160"/>
          </w:tcPr>
          <w:p>
            <w:r>
              <w:t>+0.86%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25480 亿（高活跃度）</w:t>
      </w:r>
    </w:p>
    <w:p>
      <w:r>
        <w:t xml:space="preserve">  沪/深偏好：沪市 42%（偏成长进攻）</w:t>
      </w:r>
    </w:p>
    <w:p>
      <w:r>
        <w:t xml:space="preserve">  南向资金：净买入 47.2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-3.99 亿  |  大单净 -5.26 亿  |  涨家 14 / 跌家 16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