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2026-08-26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3916.98</w:t>
            </w:r>
          </w:p>
        </w:tc>
        <w:tc>
          <w:tcPr>
            <w:tcW w:type="dxa" w:w="2160"/>
          </w:tcPr>
          <w:p>
            <w:r>
              <w:t>+0.71%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13911.99</w:t>
            </w:r>
          </w:p>
        </w:tc>
        <w:tc>
          <w:tcPr>
            <w:tcW w:type="dxa" w:w="2160"/>
          </w:tcPr>
          <w:p>
            <w:r>
              <w:t>+1.21%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3444.62</w:t>
            </w:r>
          </w:p>
        </w:tc>
        <w:tc>
          <w:tcPr>
            <w:tcW w:type="dxa" w:w="2160"/>
          </w:tcPr>
          <w:p>
            <w:r>
              <w:t>+1.39%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1639.51</w:t>
            </w:r>
          </w:p>
        </w:tc>
        <w:tc>
          <w:tcPr>
            <w:tcW w:type="dxa" w:w="2160"/>
          </w:tcPr>
          <w:p>
            <w:r>
              <w:t>+2.18%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4601.00</w:t>
            </w:r>
          </w:p>
        </w:tc>
        <w:tc>
          <w:tcPr>
            <w:tcW w:type="dxa" w:w="2160"/>
          </w:tcPr>
          <w:p>
            <w:r>
              <w:t>+1.08%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7809.03</w:t>
            </w:r>
          </w:p>
        </w:tc>
        <w:tc>
          <w:tcPr>
            <w:tcW w:type="dxa" w:w="2160"/>
          </w:tcPr>
          <w:p>
            <w:r>
              <w:t>+1.27%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11.1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7.29 亿  |  大单净 6.17 亿  |  涨家 18 / 跌家 12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</w:t>
      </w:r>
      <w:r>
        <w:rPr>
          <w:rFonts w:ascii="微软雅黑" w:hAnsi="微软雅黑" w:eastAsia="微软雅黑"/>
          <w:b/>
          <w:color w:val="D29922"/>
          <w:sz w:val="22"/>
        </w:rPr>
        <w:t>增量资金加速入场，成长风格全面加速，但市场宽度与指数涨幅明显背离</w:t>
      </w:r>
      <w:r>
        <w:rPr>
          <w:rFonts w:ascii="微软雅黑" w:hAnsi="微软雅黑" w:eastAsia="微软雅黑"/>
          <w:color w:val="1A1A1A"/>
          <w:sz w:val="22"/>
        </w:rPr>
        <w:t>—— 科创50两日动能突变+2.82pp，创业板单半日+1.39%且加速0.93pp，成交额半小时陡增40%，呈典型"放量拉成长"进攻形态。但涨跌比仅47.8%，指数行情与个股分化并存，后续需验证4300只个股的补涨联动。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收盘全市场普涨，主要指数全线飘红，科创50以+2.18%领涨，深市表现显著强于沪市。指数层面较10:31时段全面加速，深成指/创业板/科创50/中证500均为"加速上涨"状态，仅上证指数仍属横盘延续（+0.71%，较10:31仅+0.21pp）。从昨日同期看，深成指+1.99pp、创业板+2.83pp、科创50+2.82pp，三大成长指数齐现"动能突变"级加速，情绪由弱转强信号明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：半日12,307亿，较10:31时段放量40.0%（约+3,500亿）—— 30分钟内集中放量，属于异常信号，不是温和增量，而是资金集中抢筹。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：上涨478家/下跌504家/平盘18家，涨跌比0.95:1，指数普涨但个股下跌家数反超上涨家数——</w:t>
      </w:r>
      <w:r>
        <w:rPr>
          <w:rFonts w:ascii="微软雅黑" w:hAnsi="微软雅黑" w:eastAsia="微软雅黑"/>
          <w:b/>
          <w:color w:val="D29922"/>
          <w:sz w:val="22"/>
        </w:rPr>
        <w:t>结构高度分化，赚钱效应未同步放大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涨停7家/跌停4家</w:t>
      </w:r>
      <w:r>
        <w:rPr>
          <w:rFonts w:ascii="微软雅黑" w:hAnsi="微软雅黑" w:eastAsia="微软雅黑"/>
          <w:color w:val="1A1A1A"/>
          <w:sz w:val="22"/>
        </w:rPr>
        <w:t>：涨停数量仅7家，与半日12,307亿的放量规模严重不匹配，说明资金主攻权重与中军品种，而非题材扩散。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涨跌幅中位数</w:t>
      </w:r>
      <w:r>
        <w:rPr>
          <w:rFonts w:ascii="微软雅黑" w:hAnsi="微软雅黑" w:eastAsia="微软雅黑"/>
          <w:color w:val="1A1A1A"/>
          <w:sz w:val="22"/>
        </w:rPr>
        <w:t>：中位数成交额5,969万，平均换手2.65% —— 流动性集中在中大市值，小票活跃度不足。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领涨方向</w:t>
      </w:r>
      <w:r>
        <w:rPr>
          <w:rFonts w:ascii="微软雅黑" w:hAnsi="微软雅黑" w:eastAsia="微软雅黑"/>
          <w:color w:val="1A1A1A"/>
          <w:sz w:val="22"/>
        </w:rPr>
        <w:t>：次新股（+2.14%）、有色金属（+0.46%）、玻璃行业（+0.33%）、飞机制造（+0.31%）。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次新股</w:t>
      </w:r>
      <w:r>
        <w:rPr>
          <w:rFonts w:ascii="微软雅黑" w:hAnsi="微软雅黑" w:eastAsia="微软雅黑"/>
          <w:color w:val="1A1A1A"/>
          <w:sz w:val="22"/>
        </w:rPr>
        <w:t>半日+2.14%，与昨日同期相比板块结构"完全替换"（次新股、有色金属、玻璃接替陶瓷、农林牧渔、生物制药），属于高速轮动下的资金博弈型上涨，而非基本面驱动。次新领涨通常代表风险偏好抬升、博弹性资金活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有色金属</w:t>
      </w:r>
      <w:r>
        <w:rPr>
          <w:rFonts w:ascii="微软雅黑" w:hAnsi="微软雅黑" w:eastAsia="微软雅黑"/>
          <w:color w:val="1A1A1A"/>
          <w:sz w:val="22"/>
        </w:rPr>
        <w:t>延续上一时段强势，且领涨地位未变（较10:31延续），LME铜+0.43%、白银有色/江西铜业/西部矿业/洛阳钼业涨停或大涨。铜价+江铜涨停形成共振，有基本面预期支撑（PPI有色矿采选业仍涨22.6%）。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领跌方向</w:t>
      </w:r>
      <w:r>
        <w:rPr>
          <w:rFonts w:ascii="微软雅黑" w:hAnsi="微软雅黑" w:eastAsia="微软雅黑"/>
          <w:color w:val="1A1A1A"/>
          <w:sz w:val="22"/>
        </w:rPr>
        <w:t>：陶瓷行业（-0.38%）为唯一负收益板块，属昨日领涨板块回落，验证轮动快速、板块持续性差。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：+0.71%收于3,916.98，较上一时段仅+0.21pp，涨幅温和但点位继续上移，3060亿半日成交显示主板权重放量有限，主战场在深市。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：+1.39%收3,444.62，较10:31加速0.93pp，较昨日同期+2.83pp，呈"加速上涨"形态，动能未现衰竭。若午后维持3300上方，短线趋势偏强。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：+2.18%领涨，较10:31加速1.76pp，较昨日同期+2.82pp—— 动能突变最剧烈，科技成长是本时段增量资金主攻方向。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信号解读</w:t>
      </w:r>
      <w:r>
        <w:rPr>
          <w:rFonts w:ascii="微软雅黑" w:hAnsi="微软雅黑" w:eastAsia="微软雅黑"/>
          <w:color w:val="1A1A1A"/>
          <w:sz w:val="22"/>
        </w:rPr>
        <w:t>：30分钟级别的加速+放量，构成短线"动能加速"而非"动能衰竭"；但加速度过快，午后若无法持续放量，存在高位回落风险。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：指数全红+成交额40%陡增，属于放量攻击形态。但涨跌比仅47.8%、涨停仅7家，说明增量资金集中在权重和科技中军，属"结构性放量"，而非全面普涨的放量。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：新浪资金流样本（30只）显示大单净流入7.29亿，大单净额6.17亿，流入家数18/30 —— 大资金方向偏多但力度温和，未见主力级别的大举进攻。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半日净买入+11.1亿，较上一时段+1.5亿、较昨日同期+35.3亿。绝对额仍处"净买入"状态（A股情绪反向指标偏弱），但11.1亿未达30亿的"大幅南下"阈值，信号偏中性。分项看：沪股通净卖出4.93亿，深股通净买入16.0亿—— 沪弱深强格局与南向结构吻合，内资更青睐深市科技成长。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：上涨家数478 vs 下跌504，宽度读数与指数涨幅背离。以当前指数点位（深成指+1.21%）对应次日补涨需求的边际空间，实际是个股超卖修复不足，指数偏高而宽度有待扩散 —— 午后若不能修正宽度，指数上行持续性存疑。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CPI（7月）</w:t>
      </w:r>
      <w:r>
        <w:rPr>
          <w:rFonts w:ascii="微软雅黑" w:hAnsi="微软雅黑" w:eastAsia="微软雅黑"/>
          <w:color w:val="1A1A1A"/>
          <w:sz w:val="22"/>
        </w:rPr>
        <w:t>：同比+0.5%，前值1.0%，回落幅度超预期，汽油降价10.7%主拖累。核心CPI+0.9%，猪肉由降转涨4.1%。低通胀环境无碍宽松政策空间。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PPI（7月）</w:t>
      </w:r>
      <w:r>
        <w:rPr>
          <w:rFonts w:ascii="微软雅黑" w:hAnsi="微软雅黑" w:eastAsia="微软雅黑"/>
          <w:color w:val="1A1A1A"/>
          <w:sz w:val="22"/>
        </w:rPr>
        <w:t>：同比+3.5%，前值4.1%回落，输入性因素和高温暴雨为主因。但</w:t>
      </w:r>
      <w:r>
        <w:rPr>
          <w:rFonts w:ascii="微软雅黑" w:hAnsi="微软雅黑" w:eastAsia="微软雅黑"/>
          <w:b/>
          <w:color w:val="D29922"/>
          <w:sz w:val="22"/>
        </w:rPr>
        <w:t>有色矿采选业仍涨22.6%</w:t>
      </w:r>
      <w:r>
        <w:rPr>
          <w:rFonts w:ascii="微软雅黑" w:hAnsi="微软雅黑" w:eastAsia="微软雅黑"/>
          <w:color w:val="1A1A1A"/>
          <w:sz w:val="22"/>
        </w:rPr>
        <w:t>—— 直接支撑今日有色金属领涨逻辑，PPI结构读数与板块表现共振。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PMI（7月）</w:t>
      </w:r>
      <w:r>
        <w:rPr>
          <w:rFonts w:ascii="微软雅黑" w:hAnsi="微软雅黑" w:eastAsia="微软雅黑"/>
          <w:color w:val="1A1A1A"/>
          <w:sz w:val="22"/>
        </w:rPr>
        <w:t>：制造业49.2、服务业49.3，双双跌破荣枯线，5个月最低。低景气与指数加速上行形成</w:t>
      </w:r>
      <w:r>
        <w:rPr>
          <w:rFonts w:ascii="微软雅黑" w:hAnsi="微软雅黑" w:eastAsia="微软雅黑"/>
          <w:b/>
          <w:color w:val="D29922"/>
          <w:sz w:val="22"/>
        </w:rPr>
        <w:t>基本面与技术面背离</w:t>
      </w:r>
      <w:r>
        <w:rPr>
          <w:rFonts w:ascii="微软雅黑" w:hAnsi="微软雅黑" w:eastAsia="微软雅黑"/>
          <w:color w:val="1A1A1A"/>
          <w:sz w:val="22"/>
        </w:rPr>
        <w:t>，市场交易的是流动性预期而非当季盈利。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</w:t>
      </w:r>
      <w:r>
        <w:rPr>
          <w:rFonts w:ascii="微软雅黑" w:hAnsi="微软雅黑" w:eastAsia="微软雅黑"/>
          <w:color w:val="1A1A1A"/>
          <w:sz w:val="22"/>
        </w:rPr>
        <w:t>：LPR 1年期3.0%/5年期3.5%连续14个月不变，M2同比8.0%（6月），社融增量同比少增。政策面"稳而不松"，但当前市场对降准降息预期升温，宏观流动性预期推动估值修复。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外部环境</w:t>
      </w:r>
      <w:r>
        <w:rPr>
          <w:rFonts w:ascii="微软雅黑" w:hAnsi="微软雅黑" w:eastAsia="微软雅黑"/>
          <w:color w:val="1A1A1A"/>
          <w:sz w:val="22"/>
        </w:rPr>
        <w:t>：离岸人民币6.7205（贬值+0.06%），恒指+0.72%、恒生科技+1.54%。外部共识分项3.9分且方向"分歧"—— 恒生科技大涨支撑风险偏好，但人民币微贬形成信号抵消，外资方向不明确。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量价结构背离</w:t>
      </w:r>
      <w:r>
        <w:rPr>
          <w:rFonts w:ascii="微软雅黑" w:hAnsi="微软雅黑" w:eastAsia="微软雅黑"/>
          <w:color w:val="1A1A1A"/>
          <w:sz w:val="22"/>
        </w:rPr>
        <w:t>：指数加速上涨但上涨家数不足50%、涨停仅7家，警惕"指数牛、个股熊"的结构性风险。若午后成交额无法持续放大，指数高位回落概率上升。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板块轮动过快</w:t>
      </w:r>
      <w:r>
        <w:rPr>
          <w:rFonts w:ascii="微软雅黑" w:hAnsi="微软雅黑" w:eastAsia="微软雅黑"/>
          <w:color w:val="1A1A1A"/>
          <w:sz w:val="22"/>
        </w:rPr>
        <w:t>：昨日领涨的陶瓷/农林牧渔/生物制药今日集体被替换，次新股、玻璃新进。轮动加快是情绪博弈阶段的典型特征，板块持股体验差、追高即套风险上升。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南向资金持续性</w:t>
      </w:r>
      <w:r>
        <w:rPr>
          <w:rFonts w:ascii="微软雅黑" w:hAnsi="微软雅黑" w:eastAsia="微软雅黑"/>
          <w:color w:val="1A1A1A"/>
          <w:sz w:val="22"/>
        </w:rPr>
        <w:t>：南向半日净买入11.1亿，沪股通净卖出4.93亿。虽然未触发"大幅南下"阈值，但沪弱深强格局若延续，主板权重承接力不足，指数重心或在深市而非沪市。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PPI与PMI背离的宏观风险</w:t>
      </w:r>
      <w:r>
        <w:rPr>
          <w:rFonts w:ascii="微软雅黑" w:hAnsi="微软雅黑" w:eastAsia="微软雅黑"/>
          <w:color w:val="1A1A1A"/>
          <w:sz w:val="22"/>
        </w:rPr>
        <w:t>：7月PMI双破荣枯线、PPI回落，但有色板块逆势大涨——若后续商品价格回落验证PPI下行，有色板块存在"预期透支"回调风险。当前热点本质是PPI结构项（有色矿采选+22.6%）驱动的，若该分项转弱，板块支撑塌陷。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流动性预期透支</w:t>
      </w:r>
      <w:r>
        <w:rPr>
          <w:rFonts w:ascii="微软雅黑" w:hAnsi="微软雅黑" w:eastAsia="微软雅黑"/>
          <w:color w:val="1A1A1A"/>
          <w:sz w:val="22"/>
        </w:rPr>
        <w:t>：LPR连续14个月不变，降准预期未兑现。市场对宽松的预期若在8月末央行操作中落空，估值修复逻辑将受冲击。当前量能陡增40%，有抢跑政策预期的成分。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