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2026-08-12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3946.46</w:t>
            </w:r>
          </w:p>
        </w:tc>
        <w:tc>
          <w:tcPr>
            <w:tcW w:type="dxa" w:w="2160"/>
          </w:tcPr>
          <w:p>
            <w:r>
              <w:t>+0.31%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14437.41</w:t>
            </w:r>
          </w:p>
        </w:tc>
        <w:tc>
          <w:tcPr>
            <w:tcW w:type="dxa" w:w="2160"/>
          </w:tcPr>
          <w:p>
            <w:r>
              <w:t>+1.25%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3610.33</w:t>
            </w:r>
          </w:p>
        </w:tc>
        <w:tc>
          <w:tcPr>
            <w:tcW w:type="dxa" w:w="2160"/>
          </w:tcPr>
          <w:p>
            <w:r>
              <w:t>+1.72%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1745.02</w:t>
            </w:r>
          </w:p>
        </w:tc>
        <w:tc>
          <w:tcPr>
            <w:tcW w:type="dxa" w:w="2160"/>
          </w:tcPr>
          <w:p>
            <w:r>
              <w:t>+2.08%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4693.73</w:t>
            </w:r>
          </w:p>
        </w:tc>
        <w:tc>
          <w:tcPr>
            <w:tcW w:type="dxa" w:w="2160"/>
          </w:tcPr>
          <w:p>
            <w:r>
              <w:t>+0.64%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8061.87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26800 亿（高活跃度）</w:t>
      </w:r>
    </w:p>
    <w:p>
      <w:r>
        <w:t xml:space="preserve">  沪/深偏好：沪市 41%（偏成长进攻）</w:t>
      </w:r>
    </w:p>
    <w:p>
      <w:r>
        <w:t xml:space="preserve">  南向资金：净卖出 13.6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-31.31 亿  |  大单净 -32.8 亿  |  涨家 8 / 跌家 22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本时段核心变化是：成长风格全面加速，科创50涨幅翻倍至2%以上，且伴随成交额异常放量41%，动能由温和反弹切换至强势进攻。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1.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今日上午A股市场呈现出显著的“深强沪弱、成长领跑”格局。在经历早盘前半小时的温和试探后，市场情绪于10:30后集中爆发，指数涨幅与成交额同步急速放大。以科创板、创业板为首的成长股成为资金主攻方向，形成了清晰的赚钱效应，市场由昨日的弱势平衡转入明确的日内多头行情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2.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：786:196，上涨比率高达78.6%。</w:t>
      </w:r>
      <w:r>
        <w:rPr>
          <w:rFonts w:ascii="微软雅黑" w:hAnsi="微软雅黑" w:eastAsia="微软雅黑"/>
          <w:b/>
          <w:color w:val="D29922"/>
          <w:sz w:val="22"/>
        </w:rPr>
        <w:t>解读：</w:t>
      </w:r>
      <w:r>
        <w:rPr>
          <w:rFonts w:ascii="微软雅黑" w:hAnsi="微软雅黑" w:eastAsia="微软雅黑"/>
          <w:color w:val="1A1A1A"/>
          <w:sz w:val="22"/>
        </w:rPr>
        <w:t>极端的普涨格局，远超70%的强势阈值。这表明市场并非权重股拉抬指数的虚涨，而是具备广泛基础的全面反弹，日内做多情绪高涨。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：半日成交13,817亿。较上一时段（10:30）异常放量41%（+4,017亿），较昨日同期亦显著放量20.3%。</w:t>
      </w:r>
      <w:r>
        <w:rPr>
          <w:rFonts w:ascii="微软雅黑" w:hAnsi="微软雅黑" w:eastAsia="微软雅黑"/>
          <w:b/>
          <w:color w:val="D29922"/>
          <w:sz w:val="22"/>
        </w:rPr>
        <w:t>解读：</w:t>
      </w:r>
      <w:r>
        <w:rPr>
          <w:rFonts w:ascii="微软雅黑" w:hAnsi="微软雅黑" w:eastAsia="微软雅黑"/>
          <w:color w:val="1A1A1A"/>
          <w:sz w:val="22"/>
        </w:rPr>
        <w:t>量能是今日盘面最核心的变量。异常放量确认了资金从观望到积极入场的转变，是支撑下午行情不会轻易逆转的最坚实指标。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</w:t>
      </w:r>
      <w:r>
        <w:rPr>
          <w:rFonts w:ascii="微软雅黑" w:hAnsi="微软雅黑" w:eastAsia="微软雅黑"/>
          <w:color w:val="1A1A1A"/>
          <w:sz w:val="22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活跃度</w:t>
      </w:r>
      <w:r>
        <w:rPr>
          <w:rFonts w:ascii="微软雅黑" w:hAnsi="微软雅黑" w:eastAsia="微软雅黑"/>
          <w:color w:val="1A1A1A"/>
          <w:sz w:val="22"/>
        </w:rPr>
        <w:t>：北向成交总额2,680亿，维持极高水平。外资参与热度不减，是本轮反弹的重要参与者。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风格偏好</w:t>
      </w:r>
      <w:r>
        <w:rPr>
          <w:rFonts w:ascii="微软雅黑" w:hAnsi="微软雅黑" w:eastAsia="微软雅黑"/>
          <w:color w:val="1A1A1A"/>
          <w:sz w:val="22"/>
        </w:rPr>
        <w:t>：沪市成交占比41%，偏成长进攻。</w:t>
      </w:r>
      <w:r>
        <w:rPr>
          <w:rFonts w:ascii="微软雅黑" w:hAnsi="微软雅黑" w:eastAsia="微软雅黑"/>
          <w:b/>
          <w:color w:val="D29922"/>
          <w:sz w:val="22"/>
        </w:rPr>
        <w:t>解读：</w:t>
      </w:r>
      <w:r>
        <w:rPr>
          <w:rFonts w:ascii="微软雅黑" w:hAnsi="微软雅黑" w:eastAsia="微软雅黑"/>
          <w:color w:val="1A1A1A"/>
          <w:sz w:val="22"/>
        </w:rPr>
        <w:t>与盘面指数表现高度吻合，外资活跃于深市，主导了成长股的进攻行情。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：净卖出-13.6亿，较上一时段净卖出额扩大-10.9亿，较昨日同期净流出方向大幅变化-28.5亿。</w:t>
      </w:r>
      <w:r>
        <w:rPr>
          <w:rFonts w:ascii="微软雅黑" w:hAnsi="微软雅黑" w:eastAsia="微软雅黑"/>
          <w:b/>
          <w:color w:val="D29922"/>
          <w:sz w:val="22"/>
        </w:rPr>
        <w:t>解读：</w:t>
      </w:r>
      <w:r>
        <w:rPr>
          <w:rFonts w:ascii="微软雅黑" w:hAnsi="微软雅黑" w:eastAsia="微软雅黑"/>
          <w:color w:val="1A1A1A"/>
          <w:sz w:val="22"/>
        </w:rPr>
        <w:t>此为关键信号。南向资金不仅持续净卖出，且流出速度加快，明确指向内资正从港股市场回流A股，与北向外资形成共振，强化了A股日内上涨的动能。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：离岸人民币微幅贬值（+0.02%），恒生科技指数下跌-0.80%。</w:t>
      </w:r>
      <w:r>
        <w:rPr>
          <w:rFonts w:ascii="微软雅黑" w:hAnsi="微软雅黑" w:eastAsia="微软雅黑"/>
          <w:b/>
          <w:color w:val="D29922"/>
          <w:sz w:val="22"/>
        </w:rPr>
        <w:t>解读：</w:t>
      </w:r>
      <w:r>
        <w:rPr>
          <w:rFonts w:ascii="微软雅黑" w:hAnsi="微软雅黑" w:eastAsia="微软雅黑"/>
          <w:color w:val="1A1A1A"/>
          <w:sz w:val="22"/>
        </w:rPr>
        <w:t>A股与港股及汇率走势背离，属于典型的“独立行情”。在外部联动信号偏空的分歧下，北向资金仍维持高活跃度参与A股，说明当前A股内生上涨动力极强，抵消了外部市场的负面影响。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外资监测总结</w:t>
      </w:r>
      <w:r>
        <w:rPr>
          <w:rFonts w:ascii="微软雅黑" w:hAnsi="微软雅黑" w:eastAsia="微软雅黑"/>
          <w:color w:val="1A1A1A"/>
          <w:sz w:val="22"/>
        </w:rPr>
        <w:t>：根据口诀“北向高活跃+南向净卖出=内外资都在A股，偏多”，当前信号非常积极，外资参与度高，内资回流明确，是今日行情加速的核心驱动力。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3. 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领涨板块</w:t>
      </w:r>
      <w:r>
        <w:rPr>
          <w:rFonts w:ascii="微软雅黑" w:hAnsi="微软雅黑" w:eastAsia="微软雅黑"/>
          <w:color w:val="1A1A1A"/>
          <w:sz w:val="22"/>
        </w:rPr>
        <w:t>：次新股 (+2.54%)、玻璃行业 (+0.67%)、有色金属 (+0.43%)、飞机制造 (+0.39%)、电子器件 (+0.38%)。</w:t>
      </w:r>
      <w:r>
        <w:rPr>
          <w:rFonts w:ascii="微软雅黑" w:hAnsi="微软雅黑" w:eastAsia="微软雅黑"/>
          <w:b/>
          <w:color w:val="D29922"/>
          <w:sz w:val="22"/>
        </w:rPr>
        <w:t>分析：</w:t>
      </w:r>
      <w:r>
        <w:rPr>
          <w:rFonts w:ascii="微软雅黑" w:hAnsi="微软雅黑" w:eastAsia="微软雅黑"/>
          <w:color w:val="1A1A1A"/>
          <w:sz w:val="22"/>
        </w:rPr>
        <w:t>“次新股”领涨是市场风险偏好急剧升温的典型标志。结合电子器件、飞机制造等泛科技板块的走强，构成了一条“高贝塔+硬科技”的清晰进攻主线。较昨日同期，领涨板块被“玻璃、次新、有色”完全替换，该“板块快速轮动”信号警示当前热点持续性存疑，属于情绪驱动的普涨，非基本面驱动的结构性行情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领跌板块</w:t>
      </w:r>
      <w:r>
        <w:rPr>
          <w:rFonts w:ascii="微软雅黑" w:hAnsi="微软雅黑" w:eastAsia="微软雅黑"/>
          <w:color w:val="1A1A1A"/>
          <w:sz w:val="22"/>
        </w:rPr>
        <w:t>：陶瓷行业 (-0.34%)、石油行业 (-0.11%)。</w:t>
      </w:r>
      <w:r>
        <w:rPr>
          <w:rFonts w:ascii="微软雅黑" w:hAnsi="微软雅黑" w:eastAsia="微软雅黑"/>
          <w:b/>
          <w:color w:val="D29922"/>
          <w:sz w:val="22"/>
        </w:rPr>
        <w:t>分析：</w:t>
      </w:r>
      <w:r>
        <w:rPr>
          <w:rFonts w:ascii="微软雅黑" w:hAnsi="微软雅黑" w:eastAsia="微软雅黑"/>
          <w:color w:val="1A1A1A"/>
          <w:sz w:val="22"/>
        </w:rPr>
        <w:t>下跌板块数量极少且跌幅可忽略不计，不成气候，完全被多头力量淹没。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4. 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：上午收涨2.08%，较上一时段涨幅扩大1.04pp，较昨日同期扩大1.91pp。量价齐升，MACD等趋势指标预计已形成金叉或加速发散。这是引领全市场情绪的领先指标，其强势突破了近期的横盘整理区间。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深证成指/创业板指</w:t>
      </w:r>
      <w:r>
        <w:rPr>
          <w:rFonts w:ascii="微软雅黑" w:hAnsi="微软雅黑" w:eastAsia="微软雅黑"/>
          <w:color w:val="1A1A1A"/>
          <w:sz w:val="22"/>
        </w:rPr>
        <w:t>：涨幅在1.25%-1.72%之间，较上一时段均呈现“加速上涨”特征（+0.56pp/+0.76pp）。分时图显示，10:30之后是主升浪，几乎呈75度角拉升，属于典型的日内主力资金抢筹形态。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：上涨0.31%，涨幅远落后于成长指数，但在市场普涨背景下，其温和上扬同样巩固了多头基础。若下午权重股能跟随补涨，指数将有进一步上攻空间。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5. 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：大资金监测数据显示整体净流出-31.31亿，而市场却同步大涨，构成</w:t>
      </w:r>
      <w:r>
        <w:rPr>
          <w:rFonts w:ascii="微软雅黑" w:hAnsi="微软雅黑" w:eastAsia="微软雅黑"/>
          <w:b/>
          <w:color w:val="D29922"/>
          <w:sz w:val="22"/>
        </w:rPr>
        <w:t>量价背离</w:t>
      </w:r>
      <w:r>
        <w:rPr>
          <w:rFonts w:ascii="微软雅黑" w:hAnsi="微软雅黑" w:eastAsia="微软雅黑"/>
          <w:color w:val="1A1A1A"/>
          <w:sz w:val="22"/>
        </w:rPr>
        <w:t>信号。这揭示了当前行情的脆弱性：上涨主要由情绪和中小单推动，主力大资金反而在借机进行小幅调仓或减持，这与指数凌厉的攻势形成反差，需要警惕。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成交额是10:30时段的1.41倍，远超指数涨幅，属于“放量滞涨”的反面——“放量急涨”。这种成交量的急剧放大，若不能维持，下午容易引发冲高回落，但由于是早盘后半段才放量，动能惯性大概率能延续至午后开盘至少半小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：78.6%的个股上涨，创近期新高，市场宽度极佳。但涨停家数仅11家，说明是“普涨”而非“爆发”，大量个股温和反弹，是典型的情绪修复行情，而非主升浪启动。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6. 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最新7月宏观数据显示经济基本面偏弱：制造业PMI（49.2）与服务业PMI（49.3）双双跌破荣枯线；CPI（0.5%）与PPI（3.5%）涨幅均回落，核心CPI仅0.9%，反映内需不足。在此背景下，市场对政策宽松的预期持续升温。LPR已连续14个月不变，而商业银行净息差（1.4%）处于历史低位，显示货币政策在“稳汇率”与“降成本”间面临两难。今日市场的大涨，更多是在“弱现实”下交易“强预期”，对潜在增量政策（如定向降准、产业扶持）进行超前博弈，行情的延续性高度依赖后续政策兑现情况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7. 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板块轮动过快风险</w:t>
      </w:r>
      <w:r>
        <w:rPr>
          <w:rFonts w:ascii="微软雅黑" w:hAnsi="微软雅黑" w:eastAsia="微软雅黑"/>
          <w:color w:val="1A1A1A"/>
          <w:sz w:val="22"/>
        </w:rPr>
        <w:t>：相比昨日同期，领涨板块被完全替换。这种“一天一个热点”的模式预示行情缺乏主线，一旦情绪退潮，高弹性板块回调速度同样会非常快。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外部市场背离风险</w:t>
      </w:r>
      <w:r>
        <w:rPr>
          <w:rFonts w:ascii="微软雅黑" w:hAnsi="微软雅黑" w:eastAsia="微软雅黑"/>
          <w:color w:val="1A1A1A"/>
          <w:sz w:val="22"/>
        </w:rPr>
        <w:t>：恒生科技指数逆市下跌-0.8%，离岸人民币微贬。A股的独立行情需要持续的内资流入来支撑，下午需密切关注北向活跃度能否维持高位，以及恒生科技是否出现企稳或加速下跌。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量价背离风险</w:t>
      </w:r>
      <w:r>
        <w:rPr>
          <w:rFonts w:ascii="微软雅黑" w:hAnsi="微软雅黑" w:eastAsia="微软雅黑"/>
          <w:color w:val="1A1A1A"/>
          <w:sz w:val="22"/>
        </w:rPr>
        <w:t>：大资金微量净流出与指数大涨形成背离，这是下午盘面最大的隐忧。若午后成交量无法维持半日水平，可能出现冲高回落，尤其需要警惕早盘涨幅巨大的个股。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