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3934.08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14259.44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3549.16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1709.50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4663.79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7967.54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科技股外盘情绪降温与A股昨日“低价普涨”的量价背离形成对冲。隔夜纳斯达克收跌0.6%，科技权重回调直接压制A股相关成长板块开盘风险偏好，尤其是昨日加速上涨的科创50面临获利回吐考验。宏观数据上，CPI回落至0.5%（前值1.0%）与PPI收窄至3.5%（前值4.1%）显示通胀压力缓解，但也指向内需偏弱，开盘多空博弈将围绕“流动性宽松预期”与“基本面疲软现实”展开，沪指大概率低开震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核心矛盾在于量价背离。昨日主要指数加速上涨但量能未同步验证，动能衰竭信号明显，若今日前半小时成交额无法突破昨日同期水平，需防范冲高回落。板块上，受国际油价下跌与PPI输入性通缩双重夹击，上游资源股承压；而CPI回落打开政策宽松想象空间，利好对流动性敏感的科创成长与地产后周期，但需警惕科创50较上一时段+1.63pp的加速乖离引发的技术性回调。量化视角看，PMI连续两月位于荣枯线下方（49.2），需求收缩尚未逆转，当前反弹定性为政策预期驱动而非盈利驱动，重点关注上证指数在3250点的筹码密集区能否有效支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