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午后更新</w:t>
      </w:r>
    </w:p>
    <w:p>
      <w:pPr>
        <w:jc w:val="center"/>
      </w:pPr>
      <w:r>
        <w:rPr>
          <w:color w:val="8B949E"/>
          <w:sz w:val="20"/>
        </w:rPr>
        <w:t>2026-09-14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3879.36</w:t>
            </w:r>
          </w:p>
        </w:tc>
        <w:tc>
          <w:tcPr>
            <w:tcW w:type="dxa" w:w="2160"/>
          </w:tcPr>
          <w:p>
            <w:r>
              <w:t>-0.23%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13347.95</w:t>
            </w:r>
          </w:p>
        </w:tc>
        <w:tc>
          <w:tcPr>
            <w:tcW w:type="dxa" w:w="2160"/>
          </w:tcPr>
          <w:p>
            <w:r>
              <w:t>-0.92%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3276.87</w:t>
            </w:r>
          </w:p>
        </w:tc>
        <w:tc>
          <w:tcPr>
            <w:tcW w:type="dxa" w:w="2160"/>
          </w:tcPr>
          <w:p>
            <w:r>
              <w:t>-1.36%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1522.29</w:t>
            </w:r>
          </w:p>
        </w:tc>
        <w:tc>
          <w:tcPr>
            <w:tcW w:type="dxa" w:w="2160"/>
          </w:tcPr>
          <w:p>
            <w:r>
              <w:t>-2.00%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4474.79</w:t>
            </w:r>
          </w:p>
        </w:tc>
        <w:tc>
          <w:tcPr>
            <w:tcW w:type="dxa" w:w="2160"/>
          </w:tcPr>
          <w:p>
            <w:r>
              <w:t>-0.78%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7539.26</w:t>
            </w:r>
          </w:p>
        </w:tc>
        <w:tc>
          <w:tcPr>
            <w:tcW w:type="dxa" w:w="2160"/>
          </w:tcPr>
          <w:p>
            <w:r>
              <w:t>-0.54%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47.5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-2.12 亿  |  大单净 -3.63 亿  |  涨家 11 / 跌家 19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本时段核心变化是：指数较上一时段全线加速下跌，量能放大21.2%，南向净买入扩大至47.5亿，权重领跌但个股涨多跌少，领涨板块完全替换，资金无主线、短线博弈加剧。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模块一：边际速览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指数方向较上一时段呈下行动能加速，而非衰竭或反转。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指数方向：</w:t>
      </w:r>
      <w:r>
        <w:rPr>
          <w:rFonts w:ascii="微软雅黑" w:hAnsi="微软雅黑" w:eastAsia="微软雅黑"/>
          <w:color w:val="1A1A1A"/>
          <w:sz w:val="22"/>
        </w:rPr>
        <w:t>上证-0.23%（较上一时段-0.40pp）、深证-0.92%（-0.66pp）、创业板-1.36%（-0.89pp）、科创50-2.00%（-1.05pp）、沪深300-0.78%（-0.46pp）、中证500-0.54%（-0.55pp），全线下行且斜率变陡，属</w:t>
      </w:r>
      <w:r>
        <w:rPr>
          <w:rFonts w:ascii="微软雅黑" w:hAnsi="微软雅黑" w:eastAsia="微软雅黑"/>
          <w:b/>
          <w:color w:val="D29922"/>
          <w:sz w:val="22"/>
        </w:rPr>
        <w:t>动能加速下跌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量能：</w:t>
      </w:r>
      <w:r>
        <w:rPr>
          <w:rFonts w:ascii="微软雅黑" w:hAnsi="微软雅黑" w:eastAsia="微软雅黑"/>
          <w:color w:val="1A1A1A"/>
          <w:sz w:val="22"/>
        </w:rPr>
        <w:t>两市成交13387亿，较上一时段+21.2%，为明显放量。放量下跌说明抛压增强，多空分歧加大，参与度上升但偏向空头。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涨跌比：</w:t>
      </w:r>
      <w:r>
        <w:rPr>
          <w:rFonts w:ascii="微软雅黑" w:hAnsi="微软雅黑" w:eastAsia="微软雅黑"/>
          <w:color w:val="1A1A1A"/>
          <w:sz w:val="22"/>
        </w:rPr>
        <w:t>1000只样本中上涨594家、下跌394家，涨跌比59.4%；涨停14家、跌停0家。市场宽度仍偏多，但指数普跌，说明跌幅主要由权重与中盘股贡献，个股分化明显。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模块二：量价结构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本时段无权重虹吸，资金从权重流出后转向题材，但题材轮动过快，缺乏主线持续性。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权重成交占比：</w:t>
      </w:r>
      <w:r>
        <w:rPr>
          <w:rFonts w:ascii="微软雅黑" w:hAnsi="微软雅黑" w:eastAsia="微软雅黑"/>
          <w:color w:val="1A1A1A"/>
          <w:sz w:val="22"/>
        </w:rPr>
        <w:t>沪深300成交3260.08亿，占两市总成交约24.4%，未达70%阈值，不存在权重虹吸效应；中证500成交2234.57亿，占比约16.7%。权重占比偏低，资金并未集中大票。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资金结构：</w:t>
      </w:r>
      <w:r>
        <w:rPr>
          <w:rFonts w:ascii="微软雅黑" w:hAnsi="微软雅黑" w:eastAsia="微软雅黑"/>
          <w:color w:val="1A1A1A"/>
          <w:sz w:val="22"/>
        </w:rPr>
        <w:t>上证50/沪深300跌幅大于中证500，显示权重股领跌；与此同时上涨家数占比59.4%，领涨板块为医疗研发外包、诊断服务、胶黏剂等题材。资金从大票撤出后快速切换至中小题材，属于</w:t>
      </w:r>
      <w:r>
        <w:rPr>
          <w:rFonts w:ascii="微软雅黑" w:hAnsi="微软雅黑" w:eastAsia="微软雅黑"/>
          <w:b/>
          <w:color w:val="D29922"/>
          <w:sz w:val="22"/>
        </w:rPr>
        <w:t>存量博弈下的题材进攻，而非权重防御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量价背离警示：</w:t>
      </w:r>
      <w:r>
        <w:rPr>
          <w:rFonts w:ascii="微软雅黑" w:hAnsi="微软雅黑" w:eastAsia="微软雅黑"/>
          <w:color w:val="1A1A1A"/>
          <w:sz w:val="22"/>
        </w:rPr>
        <w:t>放量+指数加速下跌+涨跌比仍偏多，量价结构呈现背离：指数下跌主要由权重拖累，但个股活跃度尚存。此种结构通常不稳定，一旦题材熄火，指数可能补跌或个股快速翻空。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模块四：内外联动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外部联动指标全部微弱，Python预判score+0.9、置信度分歧合理。南向大幅净买入是更可靠的内资情绪信号。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外部联动验证：</w:t>
      </w:r>
      <w:r>
        <w:rPr>
          <w:rFonts w:ascii="微软雅黑" w:hAnsi="微软雅黑" w:eastAsia="微软雅黑"/>
          <w:color w:val="1A1A1A"/>
          <w:sz w:val="22"/>
        </w:rPr>
        <w:t>恒生科技-0.04%、离岸人民币-0.02%（升值微弱）、恒生指数+0.26%，三者涨跌幅均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