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3956.35</w:t>
            </w:r>
          </w:p>
        </w:tc>
        <w:tc>
          <w:tcPr>
            <w:tcW w:type="dxa" w:w="2160"/>
          </w:tcPr>
          <w:p>
            <w:r>
              <w:t>+0.41%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14208.80</w:t>
            </w:r>
          </w:p>
        </w:tc>
        <w:tc>
          <w:tcPr>
            <w:tcW w:type="dxa" w:w="2160"/>
          </w:tcPr>
          <w:p>
            <w:r>
              <w:t>-0.71%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3504.93</w:t>
            </w:r>
          </w:p>
        </w:tc>
        <w:tc>
          <w:tcPr>
            <w:tcW w:type="dxa" w:w="2160"/>
          </w:tcPr>
          <w:p>
            <w:r>
              <w:t>-1.63%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1721.02</w:t>
            </w:r>
          </w:p>
        </w:tc>
        <w:tc>
          <w:tcPr>
            <w:tcW w:type="dxa" w:w="2160"/>
          </w:tcPr>
          <w:p>
            <w:r>
              <w:t>-1.32%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4683.22</w:t>
            </w:r>
          </w:p>
        </w:tc>
        <w:tc>
          <w:tcPr>
            <w:tcW w:type="dxa" w:w="2160"/>
          </w:tcPr>
          <w:p>
            <w:r>
              <w:t>-0.24%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7980.80</w:t>
            </w:r>
          </w:p>
        </w:tc>
        <w:tc>
          <w:tcPr>
            <w:tcW w:type="dxa" w:w="2160"/>
          </w:tcPr>
          <w:p>
            <w:r>
              <w:t>+0.01%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20110 亿（高活跃度）</w:t>
      </w:r>
    </w:p>
    <w:p>
      <w:r>
        <w:t xml:space="preserve">  沪/深偏好：沪市 43%（偏成长进攻）</w:t>
      </w:r>
    </w:p>
    <w:p>
      <w:r>
        <w:t xml:space="preserve">  南向资金：净买入 31.4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9.77 亿  |  大单净 10.44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本时段核心变化是：市场出现极致的“高低切”——防御性消费医药集体拉升，而成长赛道（科创/创业板）加速失血，指数严重背离。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后，市场呈现剧烈的结构性分裂。上证指数加速上涨了+0.41%，但深成指、创业板指、科创50均加速下跌，其中创业板指跌幅高达-1.63%。这并非普涨，而是资金从高估值成长板块向低位防御性价值板块的快速迁徙，属于典型的“避险式”调仓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两市上涨588家，下跌405家，涨跌比约为1.45:1。上涨家数占优，但指数却严重分化，尤其是科创板（涨跌比因无细分数据无法计算，但其指数大跌-1.32%），意味着权重成长股在领跌，小盘价值股普涨。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成交额：</w:t>
      </w:r>
      <w:r>
        <w:rPr>
          <w:rFonts w:ascii="微软雅黑" w:hAnsi="微软雅黑" w:eastAsia="微软雅黑"/>
          <w:color w:val="1A1A1A"/>
          <w:sz w:val="22"/>
        </w:rPr>
        <w:t>两市合计约1.35万亿元。北向资金成交总额201.10亿，较上一时段大幅提升，显示外资参与度极高。</w:t>
      </w: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：北向活跃度超200亿，属“高活跃度”。</w:t>
      </w:r>
      <w:r>
        <w:rPr>
          <w:rFonts w:ascii="微软雅黑" w:hAnsi="微软雅黑" w:eastAsia="微软雅黑"/>
          <w:b/>
          <w:color w:val="D29922"/>
          <w:sz w:val="22"/>
        </w:rPr>
        <w:t>沪/深偏好：沪市占比43%（偏成长进攻）</w:t>
      </w:r>
      <w:r>
        <w:rPr>
          <w:rFonts w:ascii="微软雅黑" w:hAnsi="微软雅黑" w:eastAsia="微软雅黑"/>
          <w:color w:val="1A1A1A"/>
          <w:sz w:val="22"/>
        </w:rPr>
        <w:t>，这与今日沪强深弱的盘面似乎矛盾，但细看北向成交深市更多，说明外资当前在一小时内更积极参与深市的博弈（可能是多空分歧剧烈）。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南向资金：</w:t>
      </w:r>
      <w:r>
        <w:rPr>
          <w:rFonts w:ascii="微软雅黑" w:hAnsi="微软雅黑" w:eastAsia="微软雅黑"/>
          <w:color w:val="1A1A1A"/>
          <w:sz w:val="22"/>
        </w:rPr>
        <w:t>港股通净买入+31.4亿，呈现“大幅净流入”。</w:t>
      </w:r>
      <w:r>
        <w:rPr>
          <w:rFonts w:ascii="微软雅黑" w:hAnsi="微软雅黑" w:eastAsia="微软雅黑"/>
          <w:b/>
          <w:color w:val="D29922"/>
          <w:sz w:val="22"/>
        </w:rPr>
        <w:t>北向高活跃+南向大幅净买入=外资在A股活跃，但内资仍在南下港股，市场分歧加大。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领涨板块：</w:t>
      </w:r>
      <w:r>
        <w:rPr>
          <w:rFonts w:ascii="微软雅黑" w:hAnsi="微软雅黑" w:eastAsia="微软雅黑"/>
          <w:color w:val="1A1A1A"/>
          <w:sz w:val="22"/>
        </w:rPr>
        <w:t>酿酒行业（+1.82%）、生物制药（+0.27%）、食品行业（+0.25%）等大消费板块强势领涨。这与开盘时的领涨板块（玻璃、船舶、传媒）完全不同，显示</w:t>
      </w:r>
      <w:r>
        <w:rPr>
          <w:rFonts w:ascii="微软雅黑" w:hAnsi="微软雅黑" w:eastAsia="微软雅黑"/>
          <w:b/>
          <w:color w:val="D29922"/>
          <w:sz w:val="22"/>
        </w:rPr>
        <w:t>高风险偏好资金迅速撤出周期和成长，涌入防御性板块</w:t>
      </w:r>
      <w:r>
        <w:rPr>
          <w:rFonts w:ascii="微软雅黑" w:hAnsi="微软雅黑" w:eastAsia="微软雅黑"/>
          <w:color w:val="1A1A1A"/>
          <w:sz w:val="22"/>
        </w:rPr>
        <w:t>。领涨个股看，生物医药领域出现集体暴动，为典型的事件驱动或避险驱动。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领跌板块：</w:t>
      </w:r>
      <w:r>
        <w:rPr>
          <w:rFonts w:ascii="微软雅黑" w:hAnsi="微软雅黑" w:eastAsia="微软雅黑"/>
          <w:color w:val="1A1A1A"/>
          <w:sz w:val="22"/>
        </w:rPr>
        <w:t>次新股（-1.66%）、电子器件（-0.38%）、玻璃行业（-0.36%）等。跌幅榜前排反映两个特征：1）无基本面支撑的题材炒作（次新）退潮；2）前期热门的科技成长板块持续失血。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趋势反转信号初现。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量价齐升，加速上涨，走势健康，但需要警惕权重股拉升导致的指数失真。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创业板指/科创50：</w:t>
      </w:r>
      <w:r>
        <w:rPr>
          <w:rFonts w:ascii="微软雅黑" w:hAnsi="微软雅黑" w:eastAsia="微软雅黑"/>
          <w:color w:val="1A1A1A"/>
          <w:sz w:val="22"/>
        </w:rPr>
        <w:t>均出现“跳空低开+加速下跌”的形态。若以开盘价为锚，当前呈现无抵抗下跌，短线技术形态已破位，属于</w:t>
      </w:r>
      <w:r>
        <w:rPr>
          <w:rFonts w:ascii="微软雅黑" w:hAnsi="微软雅黑" w:eastAsia="微软雅黑"/>
          <w:b/>
          <w:color w:val="D29922"/>
          <w:sz w:val="22"/>
        </w:rPr>
        <w:t>动能衰竭后加速下跌</w:t>
      </w:r>
      <w:r>
        <w:rPr>
          <w:rFonts w:ascii="微软雅黑" w:hAnsi="微软雅黑" w:eastAsia="微软雅黑"/>
          <w:color w:val="1A1A1A"/>
          <w:sz w:val="22"/>
        </w:rPr>
        <w:t>。这不再是健康的回调，而是资金集中出逃。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量价背离：</w:t>
      </w:r>
      <w:r>
        <w:rPr>
          <w:rFonts w:ascii="微软雅黑" w:hAnsi="微软雅黑" w:eastAsia="微软雅黑"/>
          <w:color w:val="1A1A1A"/>
          <w:sz w:val="22"/>
        </w:rPr>
        <w:t>上证指数加速上涨，但市场整体放量，创业板等成长指数放量暴跌，表明市场并非良性普涨，而是典型的存量/减量博弈下的“跷跷板”效应。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资金流向（新浪数据样本）：</w:t>
      </w:r>
      <w:r>
        <w:rPr>
          <w:rFonts w:ascii="微软雅黑" w:hAnsi="微软雅黑" w:eastAsia="微软雅黑"/>
          <w:color w:val="1A1A1A"/>
          <w:sz w:val="22"/>
        </w:rPr>
        <w:t>即便在上涨家数较多的市场中，样本股的大单资金流显示，仅10只流入，20只流出。总净额虽为正（+9.77亿），但高度依赖个别个股，表明大资金（机构/北向）整体呈卖出或调仓态势，与中小单的资金方向背离。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市场宽度：</w:t>
      </w:r>
      <w:r>
        <w:rPr>
          <w:rFonts w:ascii="微软雅黑" w:hAnsi="微软雅黑" w:eastAsia="微软雅黑"/>
          <w:color w:val="1A1A1A"/>
          <w:sz w:val="22"/>
        </w:rPr>
        <w:t>涨跌比数值看似健康，但考虑到指数如此剧烈的剪刀差，实际赚钱效应很差。上涨的588只股票平均涨幅远不足以弥补下跌权重股带来的市值损失。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板块快速轮动警示：</w:t>
      </w:r>
      <w:r>
        <w:rPr>
          <w:rFonts w:ascii="微软雅黑" w:hAnsi="微软雅黑" w:eastAsia="微软雅黑"/>
          <w:color w:val="1A1A1A"/>
          <w:sz w:val="22"/>
        </w:rPr>
        <w:t>领涨板块在1小时内被完全替换，这是市场情绪不稳定、缺乏主线的明确信号。资金在“打一枪换一个地方”，持续性存疑。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通缩与增长压力：</w:t>
      </w:r>
      <w:r>
        <w:rPr>
          <w:rFonts w:ascii="微软雅黑" w:hAnsi="微软雅黑" w:eastAsia="微软雅黑"/>
          <w:color w:val="1A1A1A"/>
          <w:sz w:val="22"/>
        </w:rPr>
        <w:t>7月CPI同比仅增0.5%（前值1.0%），PPI涨幅回落至3.5%（前值4.1%），7月制造业PMI为49.2%（跌破荣枯线）。这组数据反映了内需疲软和工业品价格下行压力。今日医药、消费的拉升，并非基于强劲的宏观复苏预期，而更像是在经济数据不及预期下的“纯防御”行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流动性：</w:t>
      </w:r>
      <w:r>
        <w:rPr>
          <w:rFonts w:ascii="微软雅黑" w:hAnsi="微软雅黑" w:eastAsia="微软雅黑"/>
          <w:color w:val="1A1A1A"/>
          <w:sz w:val="22"/>
        </w:rPr>
        <w:t>M2增速8.0%，LPR连续14个月未动，但商业银行净息差已至历史最低水平（1.4%）。宏观流动性充裕，但向市场传导的信用扩张路径不畅。在此背景下，市场风险偏好本就不高，容易引发高低切换。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主要风险：指数背离加剧，警惕系统性补跌。</w:t>
      </w:r>
      <w:r>
        <w:rPr>
          <w:rFonts w:ascii="微软雅黑" w:hAnsi="微软雅黑" w:eastAsia="微软雅黑"/>
          <w:color w:val="1A1A1A"/>
          <w:sz w:val="22"/>
        </w:rPr>
        <w:t>上证指数的强势若无法带动深市和创业板企稳，最终可能被拖累，形成普跌。当前“沪指涨、小票跌”的结构无法持续。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关注点：</w:t>
      </w:r>
      <w:r>
        <w:rPr>
          <w:rFonts w:ascii="微软雅黑" w:hAnsi="微软雅黑" w:eastAsia="微软雅黑"/>
          <w:color w:val="1A1A1A"/>
          <w:sz w:val="22"/>
        </w:rPr>
        <w:t>后续60分钟是观察窗口。若创业板、科创板不能止跌反弹，而是继续创新低，则将确认短期下跌趋势，所有高位股和热点板块都将面临补跌风险。投资者应警惕今日强势的消费医药板块在次日出现“补跌”的可能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</w:t>
      </w:r>
      <w:r>
        <w:rPr>
          <w:rFonts w:ascii="微软雅黑" w:hAnsi="微软雅黑" w:eastAsia="微软雅黑"/>
          <w:b/>
          <w:color w:val="D29922"/>
          <w:sz w:val="22"/>
        </w:rPr>
        <w:t>免责声明：</w:t>
      </w:r>
      <w:r>
        <w:rPr>
          <w:rFonts w:ascii="微软雅黑" w:hAnsi="微软雅黑" w:eastAsia="微软雅黑"/>
          <w:color w:val="1A1A1A"/>
          <w:sz w:val="22"/>
        </w:rPr>
        <w:t>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