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2026-08-25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3882.00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13794.29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3431.89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1602.34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4563.13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7717.09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收跌0.76%至25980.19点，科技权重走弱，对A股成长板块形成外部压制。但盘前竞价显示深成指、创业板指、科创50较上一时段分别加速上涨2.11pp、3.14pp、3.09pp，与纳指方向背离；同时三者较昨日同期仍为0.00%横盘，说明边际修复来自短线情绪而非外盘牵引。A50期货及恒生科技数据缺失，外部联动信号不足，开盘方向更由内盘量能决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本时段核心变化是：成长指数较上一时段动能突变，但较昨日同期横盘，且领涨板块完全替换，属快速轮动而非趋势确认。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量化上，板块快速轮动通常对应市场宽度收窄、资金持续性差，指数加速上涨与板块无主线并存，需警惕冲高回落。今日开盘30分钟应重点验证成交额能否匹配动能缺口：若较昨日同期放大15%以上，则修复可信；若缩量，则较上一时段的2-3pp加速大概率回吐。宏观层面，7月CPI同比0.5%、PPI同比3.5%同步回落，制造业PMI 49.2处于荣枯线下，M2同比8.0%、LPR连续14个月未动，流动性中性且无风险偏好扩张支撑，指数级别行情不成立，继续以结构性板块博弈为主。外资监测上，因缺南向资金与A50数据，今日无法可靠判断外资方向；若盘中南向净买入超30亿元，A股情绪偏弱，若南向净卖出则内资回流，但最终以两市成交量和指数分时强度为锚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风险提示：船舶制造、传媒娱乐、玻璃行业为隔日新领涨板块，持续性存疑；创业板/科创50的加速上涨若无法放量，将形成日内反包风险；纳斯达克走弱对高估值科技股的压制仍在。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