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早盘分析</w:t>
      </w:r>
    </w:p>
    <w:p>
      <w:pPr>
        <w:jc w:val="center"/>
      </w:pPr>
      <w:r>
        <w:rPr>
          <w:color w:val="8B949E"/>
          <w:sz w:val="20"/>
        </w:rPr>
        <w:t>2026-08-28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3966.74</w:t>
            </w:r>
          </w:p>
        </w:tc>
        <w:tc>
          <w:tcPr>
            <w:tcW w:type="dxa" w:w="2160"/>
          </w:tcPr>
          <w:p>
            <w:r>
              <w:t>+0.26%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14086.20</w:t>
            </w:r>
          </w:p>
        </w:tc>
        <w:tc>
          <w:tcPr>
            <w:tcW w:type="dxa" w:w="2160"/>
          </w:tcPr>
          <w:p>
            <w:r>
              <w:t>+0.27%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3489.33</w:t>
            </w:r>
          </w:p>
        </w:tc>
        <w:tc>
          <w:tcPr>
            <w:tcW w:type="dxa" w:w="2160"/>
          </w:tcPr>
          <w:p>
            <w:r>
              <w:t>+0.46%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1695.90</w:t>
            </w:r>
          </w:p>
        </w:tc>
        <w:tc>
          <w:tcPr>
            <w:tcW w:type="dxa" w:w="2160"/>
          </w:tcPr>
          <w:p>
            <w:r>
              <w:t>+0.14%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4636.07</w:t>
            </w:r>
          </w:p>
        </w:tc>
        <w:tc>
          <w:tcPr>
            <w:tcW w:type="dxa" w:w="2160"/>
          </w:tcPr>
          <w:p>
            <w:r>
              <w:t>+0.13%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7961.00</w:t>
            </w:r>
          </w:p>
        </w:tc>
        <w:tc>
          <w:tcPr>
            <w:tcW w:type="dxa" w:w="2160"/>
          </w:tcPr>
          <w:p>
            <w:r>
              <w:t>+0.18%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南向资金：净买入 23.1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-14.01 亿  |  大单净 -15.16 亿  |  涨家 10 / 跌家 20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一句话点睛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本时段核心变化是板块快速轮动与外部共识边际转强，主板动能衰竭而创业板加速上行，但大单净流出与南向净买入显示内资情绪仍偏弱，量价背离警示追高风险。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开盘后一小时，A股主要指数集体小幅上行，结构分化明显。上证指数报3966.74点，涨幅+0.26%，较上一时段+0.26pp，延续横盘状态；深证成指+0.27%，同样横盘；创业板指+0.46%，较上一时段+0.46pp，呈加速上涨；科创50、沪深300、中证500均横盘。整体判断：</w:t>
      </w:r>
      <w:r>
        <w:rPr>
          <w:rFonts w:ascii="微软雅黑" w:hAnsi="微软雅黑" w:eastAsia="微软雅黑"/>
          <w:b/>
          <w:color w:val="D29922"/>
          <w:sz w:val="22"/>
        </w:rPr>
        <w:t>主板动能衰竭，创业板动能加速，市场呈结构性行情而非趋势反转</w:t>
      </w:r>
      <w:r>
        <w:rPr>
          <w:rFonts w:ascii="微软雅黑" w:hAnsi="微软雅黑" w:eastAsia="微软雅黑"/>
          <w:color w:val="1A1A1A"/>
          <w:sz w:val="22"/>
        </w:rPr>
        <w:t>。全市场成交约1.04万亿元，交投保持活跃。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</w:t>
      </w:r>
      <w:r>
        <w:rPr>
          <w:rFonts w:ascii="微软雅黑" w:hAnsi="微软雅黑" w:eastAsia="微软雅黑"/>
          <w:color w:val="1A1A1A"/>
          <w:sz w:val="22"/>
        </w:rPr>
        <w:t>：全市场1000只样本中572涨/410跌/18平，上涨比例57.2%，偏多但不极端。涨停仅4家、跌停2家，不过涨幅榜中超10%个股众多，显示赚钱效应局部集中。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成交额</w:t>
      </w:r>
      <w:r>
        <w:rPr>
          <w:rFonts w:ascii="微软雅黑" w:hAnsi="微软雅黑" w:eastAsia="微软雅黑"/>
          <w:color w:val="1A1A1A"/>
          <w:sz w:val="22"/>
        </w:rPr>
        <w:t>：开盘一小时成交10415亿元，量能维持较高水平，但较上一时段无显著放大，指数上行主要靠权重/题材推动，非全面放量。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外资监测（二维框架）</w:t>
      </w:r>
      <w:r>
        <w:rPr>
          <w:rFonts w:ascii="微软雅黑" w:hAnsi="微软雅黑" w:eastAsia="微软雅黑"/>
          <w:color w:val="1A1A1A"/>
          <w:sz w:val="22"/>
        </w:rPr>
        <w:t>：① 南向资金净买入23.1亿元（沪10.7亿+深12.4亿），接近30亿阈值但未超，属于内资南下偏弱信号；② 外部联动：恒生科技+0.20%、恒生指数+0.11%，离岸人民币微贬+0.04%，信号中等偏多。外部共识评分从上一时段-1.8升至+1.8，边际转强。综合判断：</w:t>
      </w:r>
      <w:r>
        <w:rPr>
          <w:rFonts w:ascii="微软雅黑" w:hAnsi="微软雅黑" w:eastAsia="微软雅黑"/>
          <w:b/>
          <w:color w:val="D29922"/>
          <w:sz w:val="22"/>
        </w:rPr>
        <w:t>南向净买入与外部偏多形成背离，内外资分歧加大，以内盘量价为准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资金流监测（新浪样本）</w:t>
      </w:r>
      <w:r>
        <w:rPr>
          <w:rFonts w:ascii="微软雅黑" w:hAnsi="微软雅黑" w:eastAsia="微软雅黑"/>
          <w:color w:val="1A1A1A"/>
          <w:sz w:val="22"/>
        </w:rPr>
        <w:t>：30只样本股中，大单净额-15.16亿元，流出家数20 vs 流入10，大资金方向偏谨慎，与指数上涨形成量价背离。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板块热点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本时段领涨板块被完全替换，较上一时段出现异常快速轮动。</w:t>
      </w:r>
      <w:r>
        <w:rPr>
          <w:rFonts w:ascii="微软雅黑" w:hAnsi="微软雅黑" w:eastAsia="微软雅黑"/>
          <w:b/>
          <w:color w:val="D29922"/>
          <w:sz w:val="22"/>
        </w:rPr>
        <w:t>横向通用软件+5.34%（龙头：鼎捷数智）、房产租赁经纪+5.22%（龙头：我爱我家）、运动服装+4.03%（龙头：探路者）接替昨日的传媒娱乐、船舶制造、玻璃行业</w:t>
      </w:r>
      <w:r>
        <w:rPr>
          <w:rFonts w:ascii="微软雅黑" w:hAnsi="微软雅黑" w:eastAsia="微软雅黑"/>
          <w:color w:val="1A1A1A"/>
          <w:sz w:val="22"/>
        </w:rPr>
        <w:t>。同时，林业、种子、种植业等农业板块走强，氟化工、胶黏剂等化工细分亦活跃。驱动因素上，软件板块受AI/信创政策预期及龙头20cm涨停带动；房产租赁经纪与地产政策预期有关；运动服装或受益于促消费预期。但板块切换过快，资金缺乏主线沉淀，持续性存疑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技术信号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上证指数报3966点，逼近4000点整数关口，分时横盘但涨幅收窄，显示上方抛压存在；创业板指报3489点，较上一时段明显加速，短期均线多头发散，若动能持续有望挑战3500点。由于数据接口未提供实时MA/MACD/RSI/KDJ明细，从价格行为推断：主板指数MACD红柱可能边际收敛，KDJ高位钝化，存在技术性超买；创业板指相对强弱指标RSI或进入强势区，但需警惕放量滞涨。关键位置：上证支撑3950点，阻力4000点；创业板支撑3450点，阻力3500点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量化视角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资金流向</w:t>
      </w:r>
      <w:r>
        <w:rPr>
          <w:rFonts w:ascii="微软雅黑" w:hAnsi="微软雅黑" w:eastAsia="微软雅黑"/>
          <w:color w:val="1A1A1A"/>
          <w:sz w:val="22"/>
        </w:rPr>
        <w:t>：新浪资金流样本大单净流出15.16亿元，流出家数20：流入10，大资金偏流出，与指数普涨背离，说明散户/中小单承接，主力高位兑现迹象。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量价关系</w:t>
      </w:r>
      <w:r>
        <w:rPr>
          <w:rFonts w:ascii="微软雅黑" w:hAnsi="微软雅黑" w:eastAsia="微软雅黑"/>
          <w:color w:val="1A1A1A"/>
          <w:sz w:val="22"/>
        </w:rPr>
        <w:t>：全市场成交1.04万亿，没有明显放量，指数上行更多依赖局部热点拉动，量价配合度一般。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市场宽度</w:t>
      </w:r>
      <w:r>
        <w:rPr>
          <w:rFonts w:ascii="微软雅黑" w:hAnsi="微软雅黑" w:eastAsia="微软雅黑"/>
          <w:color w:val="1A1A1A"/>
          <w:sz w:val="22"/>
        </w:rPr>
        <w:t>：上涨比例57.2%，但涨停家数偏少，涨幅集中在0-3%区间，缺乏强势主线；板块轮动过快，宽度虽偏多但质量不高。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南向与外部背离</w:t>
      </w:r>
      <w:r>
        <w:rPr>
          <w:rFonts w:ascii="微软雅黑" w:hAnsi="微软雅黑" w:eastAsia="微软雅黑"/>
          <w:color w:val="1A1A1A"/>
          <w:sz w:val="22"/>
        </w:rPr>
        <w:t>：南向净买入23.1亿（偏空A股信号）与外部偏多形成背离，提示内资实际情绪弱于外部表象，短期以A股自身量价为准。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宏观背景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7月宏观数据边际走弱：CPI同比+0.5%（前值1.0%），PPI同比+3.5%（前值4.1%），制造业PMI 49.2跌破荣枯线，服务业PMI 49.3同步回落。M2同比8.0%，社融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