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3946.80</w:t>
            </w:r>
          </w:p>
        </w:tc>
        <w:tc>
          <w:tcPr>
            <w:tcW w:type="dxa" w:w="2160"/>
          </w:tcPr>
          <w:p>
            <w:r>
              <w:t>+0.17%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14169.52</w:t>
            </w:r>
          </w:p>
        </w:tc>
        <w:tc>
          <w:tcPr>
            <w:tcW w:type="dxa" w:w="2160"/>
          </w:tcPr>
          <w:p>
            <w:r>
              <w:t>-0.99%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3489.26</w:t>
            </w:r>
          </w:p>
        </w:tc>
        <w:tc>
          <w:tcPr>
            <w:tcW w:type="dxa" w:w="2160"/>
          </w:tcPr>
          <w:p>
            <w:r>
              <w:t>-2.07%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1706.48</w:t>
            </w:r>
          </w:p>
        </w:tc>
        <w:tc>
          <w:tcPr>
            <w:tcW w:type="dxa" w:w="2160"/>
          </w:tcPr>
          <w:p>
            <w:r>
              <w:t>-2.15%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4671.00</w:t>
            </w:r>
          </w:p>
        </w:tc>
        <w:tc>
          <w:tcPr>
            <w:tcW w:type="dxa" w:w="2160"/>
          </w:tcPr>
          <w:p>
            <w:r>
              <w:t>-0.50%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7944.77</w:t>
            </w:r>
          </w:p>
        </w:tc>
        <w:tc>
          <w:tcPr>
            <w:tcW w:type="dxa" w:w="2160"/>
          </w:tcPr>
          <w:p>
            <w:r>
              <w:t>-0.44%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20110 亿（高活跃度）</w:t>
      </w:r>
    </w:p>
    <w:p>
      <w:r>
        <w:t xml:space="preserve">  沪/深偏好：沪市 43%（偏成长进攻）</w:t>
      </w:r>
    </w:p>
    <w:p>
      <w:r>
        <w:t xml:space="preserve">  南向资金：净买入 35.0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9.77 亿  |  大单净 10.44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科创50加速下跌</w:t>
      </w:r>
      <w:r>
        <w:rPr>
          <w:rFonts w:ascii="微软雅黑" w:hAnsi="微软雅黑" w:eastAsia="微软雅黑"/>
          <w:color w:val="1A1A1A"/>
          <w:sz w:val="22"/>
        </w:rPr>
        <w:t>，较上一时段跌幅扩大-0.52pp至-2.15%，形成动能加速信号。上证指数+0.17%横盘延续，深证成指-0.99%与创业板指-2.07%动能衰竭，市场呈现权重护盘、成长派发的分化格局。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两市成交额20,590亿，较上一时段放量+18.7%，为午后显著放量。放量下跌结构中，成交额放大而主要指数（除上证外）走势疲弱，表明抛压增加、买盘承接有限。市场宽度表面偏多（涨跌比61%），但涨停仅9家，与放量环境不匹配，</w:t>
      </w:r>
      <w:r>
        <w:rPr>
          <w:rFonts w:ascii="微软雅黑" w:hAnsi="微软雅黑" w:eastAsia="微软雅黑"/>
          <w:b/>
          <w:color w:val="D29922"/>
          <w:sz w:val="22"/>
        </w:rPr>
        <w:t>量能集中于下跌侧的成长板块</w:t>
      </w:r>
      <w:r>
        <w:rPr>
          <w:rFonts w:ascii="微软雅黑" w:hAnsi="微软雅黑" w:eastAsia="微软雅黑"/>
          <w:color w:val="1A1A1A"/>
          <w:sz w:val="22"/>
        </w:rPr>
        <w:t>，需警惕市场广度虚高下的结构风险。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⚠️ 科创50：-2.15%（较上一时段-0.52pp，动能加速）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上证指数：+0.17%（较上一时段-0.02pp，横盘延续）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成交额：20,590亿（较上一时段+18.7%，午后放量）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涨跌比：61% 上涨（涨610/跌377, 表面偏多但涨停仅9家）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约6,048亿（占比29.4%），远低于70%虹吸警戒线，资金未向权重极端集中。但成长指数（创业板-2.07%、科创50-2.15%）大幅杀跌而权重（沪深300 -0.50%）跌幅有限，形成"权重抗跌、成长领跌"的防御格局。资金从高估值成长板块撤退，但并未大规模流入权重，整体呈现观望性减仓而非主动风格切换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放量（+18.7%）叠加涨跌比虚高（涨停仅9家而跌停3家），量价结构不健康。涨幅榜涨停个股以亏损股、ST股为主（如*ST动力+11.92%、金科股份+10.26%），资金追逐的并非基本面改善，而是超跌反弹和题材炒作，</w:t>
      </w:r>
      <w:r>
        <w:rPr>
          <w:rFonts w:ascii="微软雅黑" w:hAnsi="微软雅黑" w:eastAsia="微软雅黑"/>
          <w:b/>
          <w:color w:val="D29922"/>
          <w:sz w:val="22"/>
        </w:rPr>
        <w:t>缺乏主线量价支撑</w:t>
      </w:r>
      <w:r>
        <w:rPr>
          <w:rFonts w:ascii="微软雅黑" w:hAnsi="微软雅黑" w:eastAsia="微软雅黑"/>
          <w:color w:val="1A1A1A"/>
          <w:sz w:val="22"/>
        </w:rPr>
        <w:t>。资金在大盘与成长间快速轮动，合力不足，午后追涨风险加大。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沪深300成交占比：29.4%（权重股无虹吸效应）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涨停股特征：ST/亏损/微盘股占涨停榜50%以上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外资偏好（沪/深风格）：</w:t>
      </w:r>
      <w:r>
        <w:rPr>
          <w:rFonts w:ascii="微软雅黑" w:hAnsi="微软雅黑" w:eastAsia="微软雅黑"/>
          <w:color w:val="1A1A1A"/>
          <w:sz w:val="22"/>
        </w:rPr>
        <w:t>沪市占比43%（较上一时段持平），维持偏成长进攻风格。北向成交总额20,110亿，与上一时段持平（+0.0%），北向参与度未变化。在当前放量环境下，北向活跃度未同步提升，外资呈</w:t>
      </w:r>
      <w:r>
        <w:rPr>
          <w:rFonts w:ascii="微软雅黑" w:hAnsi="微软雅黑" w:eastAsia="微软雅黑"/>
          <w:b/>
          <w:color w:val="D29922"/>
          <w:sz w:val="22"/>
        </w:rPr>
        <w:t>稳定参与但未加码</w:t>
      </w:r>
      <w:r>
        <w:rPr>
          <w:rFonts w:ascii="微软雅黑" w:hAnsi="微软雅黑" w:eastAsia="微软雅黑"/>
          <w:color w:val="1A1A1A"/>
          <w:sz w:val="22"/>
        </w:rPr>
        <w:t>的状态，增量资金主要来自内资。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外部联动共识：</w:t>
      </w:r>
      <w:r>
        <w:rPr>
          <w:rFonts w:ascii="微软雅黑" w:hAnsi="微软雅黑" w:eastAsia="微软雅黑"/>
          <w:color w:val="1A1A1A"/>
          <w:sz w:val="22"/>
        </w:rPr>
        <w:t>离岸人民币贬值+0.04%（微弱，USD/CNH升至6.7448），幅度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0.3%，属中性信号，应忽略。恒生科技涨+0.85%，属中等偏多信号，但幅度有限。Python预判共识分数+1.8（置信度：分歧），与实际情况一致——人民币中性、恒生科技微涨，方向分歧，</w:t>
      </w:r>
      <w:r>
        <w:rPr>
          <w:rFonts w:ascii="微软雅黑" w:hAnsi="微软雅黑" w:eastAsia="微软雅黑"/>
          <w:b/>
          <w:color w:val="D29922"/>
          <w:sz w:val="22"/>
        </w:rPr>
        <w:t>外部联动信号不可靠，以内盘量价为准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南向资金净买入35亿（较上一时段-2.8亿），持续大幅净流入港股。北向活跃度高+南向大幅净买入=内外资分歧加大：外资在A股活跃但内资南下，A股短线资金被分流。这与成长股领跌的结构吻合——内资在减仓高估值成长，部分转战港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北向活跃度：20,110亿（+0.0%，持平）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沪市占比：43%（偏成长进攻）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南向净买入：35亿（持续分流A股短线资金）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恒生科技：+0.85%（中等偏多，但A股未跟）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离岸人民币：-0.04%（微弱，中性忽略）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涨跌比61%未出现连续极端偏多或偏空，市场宽度正常波动。但涨停家数仅9家，与放量环境不匹配，市场赚钱效应有限。板块快速轮动明显：贵金属/有色抗跌，半导体/光伏/医药领跌，主线切换频率过快，</w:t>
      </w:r>
      <w:r>
        <w:rPr>
          <w:rFonts w:ascii="微软雅黑" w:hAnsi="微软雅黑" w:eastAsia="微软雅黑"/>
          <w:b/>
          <w:color w:val="D29922"/>
          <w:sz w:val="22"/>
        </w:rPr>
        <w:t>追涨策略胜率低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科创50连续两个时段加速下跌（午间-1.63%→午后-2.15%），形成持续性抛压信号。若尾盘无资金回流，科创板短期技术形态将进一步恶化。创业板-2.07%虽未较上一时段加速，但量能放大，空方动能未衰竭。市场缺乏明确方向，午后至尾盘的走势将取决于：权重（上证/沪深300）能否维持横盘，还是被成长板块拖累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科创50：连续加速下跌，空方动能未竭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涨停家数：仅9家（赚钱效应弱，板块轮动加速）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</w:t>
      </w:r>
      <w:r>
        <w:rPr>
          <w:rFonts w:ascii="微软雅黑" w:hAnsi="微软雅黑" w:eastAsia="微软雅黑"/>
          <w:color w:val="1A1A1A"/>
          <w:sz w:val="22"/>
        </w:rPr>
        <w:t>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黄灯（观望信号）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南向净买入35亿</w:t>
      </w:r>
      <w:r>
        <w:rPr>
          <w:rFonts w:ascii="微软雅黑" w:hAnsi="微软雅黑" w:eastAsia="微软雅黑"/>
          <w:color w:val="1A1A1A"/>
          <w:sz w:val="22"/>
        </w:rPr>
        <w:t>：内资持续南下，A股短线资金被分流，与成长股领跌形成共振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外部方向分歧</w:t>
      </w:r>
      <w:r>
        <w:rPr>
          <w:rFonts w:ascii="微软雅黑" w:hAnsi="微软雅黑" w:eastAsia="微软雅黑"/>
          <w:color w:val="1A1A1A"/>
          <w:sz w:val="22"/>
        </w:rPr>
        <w:t>（共识分数+1.8）：人民币信号微弱、恒生科技微涨，外部信号不可靠，以内盘量价为准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板块轮动加速，主线不清晰</w:t>
      </w:r>
      <w:r>
        <w:rPr>
          <w:rFonts w:ascii="微软雅黑" w:hAnsi="微软雅黑" w:eastAsia="微软雅黑"/>
          <w:color w:val="1A1A1A"/>
          <w:sz w:val="22"/>
        </w:rPr>
        <w:t>：涨停以ST/亏损股为主，缺乏基本面支撑的领涨主线，追涨易被套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绿灯（进攻信号）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沪/深占比均衡（沪43%）：外资全面参与，价值与成长都有支撑，未出现极端的价值避险或成长撤退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综合判断：午后放量+成长加速下跌+涨停稀少，市场结构偏弱。权重护盘暂时支撑上证，但若尾盘无资金回流成长，明日低开概率上升。建议防御为主，关注尾盘量能变化及科创50能否止跌。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