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3976.08</w:t>
            </w:r>
          </w:p>
        </w:tc>
        <w:tc>
          <w:tcPr>
            <w:tcW w:type="dxa" w:w="2160"/>
          </w:tcPr>
          <w:p>
            <w:r>
              <w:t>-0.16%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14552.50</w:t>
            </w:r>
          </w:p>
        </w:tc>
        <w:tc>
          <w:tcPr>
            <w:tcW w:type="dxa" w:w="2160"/>
          </w:tcPr>
          <w:p>
            <w:r>
              <w:t>-1.03%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3690.91</w:t>
            </w:r>
          </w:p>
        </w:tc>
        <w:tc>
          <w:tcPr>
            <w:tcW w:type="dxa" w:w="2160"/>
          </w:tcPr>
          <w:p>
            <w:r>
              <w:t>-1.32%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1779.01</w:t>
            </w:r>
          </w:p>
        </w:tc>
        <w:tc>
          <w:tcPr>
            <w:tcW w:type="dxa" w:w="2160"/>
          </w:tcPr>
          <w:p>
            <w:r>
              <w:t>-0.55%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4709.76</w:t>
            </w:r>
          </w:p>
        </w:tc>
        <w:tc>
          <w:tcPr>
            <w:tcW w:type="dxa" w:w="2160"/>
          </w:tcPr>
          <w:p>
            <w:r>
              <w:t>-0.66%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8129.01</w:t>
            </w:r>
          </w:p>
        </w:tc>
        <w:tc>
          <w:tcPr>
            <w:tcW w:type="dxa" w:w="2160"/>
          </w:tcPr>
          <w:p>
            <w:r>
              <w:t>-0.68%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92.3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6.0 亿  |  大单净 5.17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一、边际速览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本时段核心变化是：指数横盘表象下，上涨家数仅22.4%的极端弱势结构开始出现衰竭迹象，但放量滞跌与南向净买入扩大形成矛盾信号。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指数方向：上证较上一时段上行+0.23pp、深成指+0.07pp、创业板指+0.01pp，各指数均收窄跌幅，但幅度极小，属于横盘延续的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而非反转。较昨日同期，深成指收窄3.08pp、创业板指收窄3.96pp，跌幅显著收敛，昨日同期在上午已加速、今日午后未见进一步崩跌，卖压短期释放后趋于缓和。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量能：成交额19580亿，较11:33时段+19.7%，放量明显。结合指数横盘偏弱、上涨家数不足四分之一的背景，属于</w:t>
      </w:r>
      <w:r>
        <w:rPr>
          <w:rFonts w:ascii="微软雅黑" w:hAnsi="微软雅黑" w:eastAsia="微软雅黑"/>
          <w:b/>
          <w:color w:val="D29922"/>
          <w:sz w:val="22"/>
        </w:rPr>
        <w:t>弱势放量</w:t>
      </w:r>
      <w:r>
        <w:rPr>
          <w:rFonts w:ascii="微软雅黑" w:hAnsi="微软雅黑" w:eastAsia="微软雅黑"/>
          <w:color w:val="1A1A1A"/>
          <w:sz w:val="22"/>
        </w:rPr>
        <w:t>——资金在抛售板块间快速切换，参与度虽高但方向偏散。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市场宽度：全市场上涨比例22.4%，为连续第2小时位于40%以下（上一时段约19%至22%），宽度极度收缩，尾盘极端反转概率上升，但尚未触发。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权重虹吸效应评估：沪深300成交额约502.1亿，占两市19580亿成交额的约</w:t>
      </w:r>
      <w:r>
        <w:rPr>
          <w:rFonts w:ascii="微软雅黑" w:hAnsi="微软雅黑" w:eastAsia="微软雅黑"/>
          <w:b/>
          <w:color w:val="D29922"/>
          <w:sz w:val="22"/>
        </w:rPr>
        <w:t>25.6%</w:t>
      </w:r>
      <w:r>
        <w:rPr>
          <w:rFonts w:ascii="微软雅黑" w:hAnsi="微软雅黑" w:eastAsia="微软雅黑"/>
          <w:color w:val="1A1A1A"/>
          <w:sz w:val="22"/>
        </w:rPr>
        <w:t>，远低于70%虹吸阈值，不存在权重股集中抽血现象。资金并未向大盘权重集中避险，而是分散在各板块快速轮动。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板块轮动特征：领涨端为次新股（+0.52%，延续）、农林牧渔（+0.28%，新进）、酿酒行业（+0.19%，新进）、农药化肥、食品行业，呈现</w:t>
      </w:r>
      <w:r>
        <w:rPr>
          <w:rFonts w:ascii="微软雅黑" w:hAnsi="微软雅黑" w:eastAsia="微软雅黑"/>
          <w:b/>
          <w:color w:val="D29922"/>
          <w:sz w:val="22"/>
        </w:rPr>
        <w:t>防守型农业+消费</w:t>
      </w:r>
      <w:r>
        <w:rPr>
          <w:rFonts w:ascii="微软雅黑" w:hAnsi="微软雅黑" w:eastAsia="微软雅黑"/>
          <w:color w:val="1A1A1A"/>
          <w:sz w:val="22"/>
        </w:rPr>
        <w:t>的避险格局；领跌端为有色金属、医疗器械、飞机制造、电子信息、电子器件等前期活跃成长板块。</w:t>
      </w:r>
      <w:r>
        <w:rPr>
          <w:rFonts w:ascii="微软雅黑" w:hAnsi="微软雅黑" w:eastAsia="微软雅黑"/>
          <w:b/>
          <w:color w:val="D29922"/>
          <w:sz w:val="22"/>
        </w:rPr>
        <w:t>资金方向从进攻性科技/成长切换至防御性农业/消费，量价结构显示为题材收缩、防御升温。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涨停结构中种业链集中爆发（秋乐种业+29.98%、神农种业+20.04%、康农种业+18.63%、农发种业、金健米业、黑芝麻、登海种业等大面积涨停），但龙头分散且以低价小盘股为主，</w:t>
      </w:r>
      <w:r>
        <w:rPr>
          <w:rFonts w:ascii="微软雅黑" w:hAnsi="微软雅黑" w:eastAsia="微软雅黑"/>
          <w:b/>
          <w:color w:val="D29922"/>
          <w:sz w:val="22"/>
        </w:rPr>
        <w:t>主线不清晰、追涨容错率低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四、内外联动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外部联动共识验证</w:t>
      </w:r>
      <w:r>
        <w:rPr>
          <w:rFonts w:ascii="微软雅黑" w:hAnsi="微软雅黑" w:eastAsia="微软雅黑"/>
          <w:color w:val="1A1A1A"/>
          <w:sz w:val="22"/>
        </w:rPr>
        <w:t>：Python预判为0/3看多、3/3看空，一致性分数-5.7，置信度强。原始数据核对：恒生科技-1.09%（强看空，中等幅度）、恒生指数-0.46%（中等看空）、离岸人民币+0.07%（性质为贬值，弱看空信号，幅度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0.3%属微弱）。</w:t>
      </w:r>
      <w:r>
        <w:rPr>
          <w:rFonts w:ascii="微软雅黑" w:hAnsi="微软雅黑" w:eastAsia="微软雅黑"/>
          <w:b/>
          <w:color w:val="D29922"/>
          <w:sz w:val="22"/>
        </w:rPr>
        <w:t>方向判定与实际涨跌幅一致，无矛盾。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但需注意：离岸人民币贬值幅度仅0.07%，属微弱信号，按规则接近忽略线；恒指-0.46%和恒生科技-1.09%均为有效信号。两个有效外部指标同向看空，</w:t>
      </w:r>
      <w:r>
        <w:rPr>
          <w:rFonts w:ascii="微软雅黑" w:hAnsi="微软雅黑" w:eastAsia="微软雅黑"/>
          <w:b/>
          <w:color w:val="D29922"/>
          <w:sz w:val="22"/>
        </w:rPr>
        <w:t>外部联动与内盘弱势方向一致，但不构成增量利空</w:t>
      </w:r>
      <w:r>
        <w:rPr>
          <w:rFonts w:ascii="微软雅黑" w:hAnsi="微软雅黑" w:eastAsia="微软雅黑"/>
          <w:color w:val="1A1A1A"/>
          <w:sz w:val="22"/>
        </w:rPr>
        <w:t>——A股本身就已在防御格局中。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南向资金层面：港股通净买入92.33亿，属</w:t>
      </w:r>
      <w:r>
        <w:rPr>
          <w:rFonts w:ascii="微软雅黑" w:hAnsi="微软雅黑" w:eastAsia="微软雅黑"/>
          <w:b/>
          <w:color w:val="D29922"/>
          <w:sz w:val="22"/>
        </w:rPr>
        <w:t>大幅净流入</w:t>
      </w:r>
      <w:r>
        <w:rPr>
          <w:rFonts w:ascii="微软雅黑" w:hAnsi="微软雅黑" w:eastAsia="微软雅黑"/>
          <w:color w:val="1A1A1A"/>
          <w:sz w:val="22"/>
        </w:rPr>
        <w:t>，较上一时段+24.7亿、较昨日同期+69.8亿，均呈加速态势。结合外部分析口诀——</w:t>
      </w:r>
      <w:r>
        <w:rPr>
          <w:rFonts w:ascii="微软雅黑" w:hAnsi="微软雅黑" w:eastAsia="微软雅黑"/>
          <w:b/>
          <w:color w:val="D29922"/>
          <w:sz w:val="22"/>
        </w:rPr>
        <w:t>南向大幅净买入+外部联动看空=内外资一致偏空</w:t>
      </w:r>
      <w:r>
        <w:rPr>
          <w:rFonts w:ascii="微软雅黑" w:hAnsi="微软雅黑" w:eastAsia="微软雅黑"/>
          <w:color w:val="1A1A1A"/>
          <w:sz w:val="22"/>
        </w:rPr>
        <w:t>，两者共振指向资金整体降低A股风险暴露。但需注意：南向资金主要流向港股，其变化反映的是内资对A股相对比价的偏好，与A股日内走势相关性存争议，</w:t>
      </w:r>
      <w:r>
        <w:rPr>
          <w:rFonts w:ascii="微软雅黑" w:hAnsi="微软雅黑" w:eastAsia="微软雅黑"/>
          <w:b/>
          <w:color w:val="D29922"/>
          <w:sz w:val="22"/>
        </w:rPr>
        <w:t>以南向单独判断A股情绪需谨慎，本时段重点仍是内盘极端的量价宽度而非资金流向。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结论：外部联动信号有效但幅度衰减，属</w:t>
      </w:r>
      <w:r>
        <w:rPr>
          <w:rFonts w:ascii="微软雅黑" w:hAnsi="微软雅黑" w:eastAsia="微软雅黑"/>
          <w:b/>
          <w:color w:val="D29922"/>
          <w:sz w:val="22"/>
        </w:rPr>
        <w:t>同向偏空确认</w:t>
      </w:r>
      <w:r>
        <w:rPr>
          <w:rFonts w:ascii="微软雅黑" w:hAnsi="微软雅黑" w:eastAsia="微软雅黑"/>
          <w:color w:val="1A1A1A"/>
          <w:sz w:val="22"/>
        </w:rPr>
        <w:t>而非新利空。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五、持续性评估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涨跌比连续偏空</w:t>
      </w:r>
      <w:r>
        <w:rPr>
          <w:rFonts w:ascii="微软雅黑" w:hAnsi="微软雅黑" w:eastAsia="微软雅黑"/>
          <w:color w:val="1A1A1A"/>
          <w:sz w:val="22"/>
        </w:rPr>
        <w:t>：上涨比例22.4%，已连续第2小时位于40%以下。按规则，持续超2小时可能出现冰点反弹。目前处于临界状态，若明日早盘继续低于40%，冰点反转概率高。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🚨 市场宽度极端反转</w:t>
      </w:r>
      <w:r>
        <w:rPr>
          <w:rFonts w:ascii="微软雅黑" w:hAnsi="微软雅黑" w:eastAsia="微软雅黑"/>
          <w:color w:val="1A1A1A"/>
          <w:sz w:val="22"/>
        </w:rPr>
        <w:t>：昨日偏多约85%，今日降至22.4%，跌幅约63pp。追涨资金大面积亏损，市场宽度收缩速度罕见，</w:t>
      </w:r>
      <w:r>
        <w:rPr>
          <w:rFonts w:ascii="微软雅黑" w:hAnsi="微软雅黑" w:eastAsia="微软雅黑"/>
          <w:b/>
          <w:color w:val="D29922"/>
          <w:sz w:val="22"/>
        </w:rPr>
        <w:t>典型的普跌式出清而非结构性调整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🚨 涨停溢价率转负</w:t>
      </w:r>
      <w:r>
        <w:rPr>
          <w:rFonts w:ascii="微软雅黑" w:hAnsi="微软雅黑" w:eastAsia="微软雅黑"/>
          <w:color w:val="1A1A1A"/>
          <w:sz w:val="22"/>
        </w:rPr>
        <w:t>：昨日涨停中位数溢价率-0.8%，今日涨停家数仅12家，打板资金连续两日亏损，</w:t>
      </w:r>
      <w:r>
        <w:rPr>
          <w:rFonts w:ascii="微软雅黑" w:hAnsi="微软雅黑" w:eastAsia="微软雅黑"/>
          <w:b/>
          <w:color w:val="D29922"/>
          <w:sz w:val="22"/>
        </w:rPr>
        <w:t>短线生态恶化，题材持续性差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板块轮动加速</w:t>
      </w:r>
      <w:r>
        <w:rPr>
          <w:rFonts w:ascii="微软雅黑" w:hAnsi="微软雅黑" w:eastAsia="微软雅黑"/>
          <w:color w:val="1A1A1A"/>
          <w:sz w:val="22"/>
        </w:rPr>
        <w:t>：次新股延续但农林牧渔、酿酒新进，农业链集中爆发但龙头分散，</w:t>
      </w:r>
      <w:r>
        <w:rPr>
          <w:rFonts w:ascii="微软雅黑" w:hAnsi="微软雅黑" w:eastAsia="微软雅黑"/>
          <w:b/>
          <w:color w:val="D29922"/>
          <w:sz w:val="22"/>
        </w:rPr>
        <w:t>主线快速切换、难以形成合力</w:t>
      </w:r>
      <w:r>
        <w:rPr>
          <w:rFonts w:ascii="微软雅黑" w:hAnsi="微软雅黑" w:eastAsia="微软雅黑"/>
          <w:color w:val="1A1A1A"/>
          <w:sz w:val="22"/>
        </w:rPr>
        <w:t>，资金以防守和套利为主。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量价背离信号</w:t>
      </w:r>
      <w:r>
        <w:rPr>
          <w:rFonts w:ascii="微软雅黑" w:hAnsi="微软雅黑" w:eastAsia="微软雅黑"/>
          <w:color w:val="1A1A1A"/>
          <w:sz w:val="22"/>
        </w:rPr>
        <w:t>：成交额放量19.7%，但指数横盘偏弱、涨跌比极低，</w:t>
      </w:r>
      <w:r>
        <w:rPr>
          <w:rFonts w:ascii="微软雅黑" w:hAnsi="微软雅黑" w:eastAsia="微软雅黑"/>
          <w:b/>
          <w:color w:val="D29922"/>
          <w:sz w:val="22"/>
        </w:rPr>
        <w:t>放量滞跌</w:t>
      </w:r>
      <w:r>
        <w:rPr>
          <w:rFonts w:ascii="微软雅黑" w:hAnsi="微软雅黑" w:eastAsia="微软雅黑"/>
          <w:color w:val="1A1A1A"/>
          <w:sz w:val="22"/>
        </w:rPr>
        <w:t>——卖压在释放但买盘承接不足，尾盘若继续放量而指数不跌，则可能形成短期底部；若放量下破，则是加速出清信号。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六、红黄绿灯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🔴 红灯（危险信号）</w:t>
      </w:r>
      <w:r>
        <w:rPr>
          <w:rFonts w:ascii="微软雅黑" w:hAnsi="微软雅黑" w:eastAsia="微软雅黑"/>
          <w:color w:val="1A1A1A"/>
          <w:sz w:val="22"/>
        </w:rPr>
        <w:t>：昨日追涨今日亏损，涨停溢价率-0.8%，打板亏钱效应扩散，短线资金加速离场；市场宽度从85%骤降至22%，追涨容错率极低。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🟡 黄灯（观望信号）</w:t>
      </w:r>
      <w:r>
        <w:rPr>
          <w:rFonts w:ascii="微软雅黑" w:hAnsi="微软雅黑" w:eastAsia="微软雅黑"/>
          <w:color w:val="1A1A1A"/>
          <w:sz w:val="22"/>
        </w:rPr>
        <w:t>：南向净买入92亿，内资南下分流，A股短线资金承压；板块轮动加速，农林牧渔、酿酒、次新股轮动但无持续性主线；涨跌比连续第2小时极端偏空，尾盘冰点反弹概率上升，但未触发；外部联动看空与内盘弱势同向，不构成独立操作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🟢 绿灯</w:t>
      </w:r>
      <w:r>
        <w:rPr>
          <w:rFonts w:ascii="微软雅黑" w:hAnsi="微软雅黑" w:eastAsia="微软雅黑"/>
          <w:color w:val="1A1A1A"/>
          <w:sz w:val="22"/>
        </w:rPr>
        <w:t>：暂无触发。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操作要点</w:t>
      </w:r>
      <w:r>
        <w:rPr>
          <w:rFonts w:ascii="微软雅黑" w:hAnsi="微软雅黑" w:eastAsia="微软雅黑"/>
          <w:color w:val="1A1A1A"/>
          <w:sz w:val="22"/>
        </w:rPr>
        <w:t>：当前处于弱势放量+极端宽度的临界状态，尾盘若出现放量拉升且上涨家数快速回升至40%以上，可视为冰点反弹信号；若放量下探且跌停家数扩大，则表明出清未完成。建议保持低仓位观望，不急于抄底，等待市场宽度和量价结构出现明确拐点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