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2026-08-13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3926.88</w:t>
            </w:r>
          </w:p>
        </w:tc>
        <w:tc>
          <w:tcPr>
            <w:tcW w:type="dxa" w:w="2160"/>
          </w:tcPr>
          <w:p>
            <w:r>
              <w:t>-0.50%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14290.79</w:t>
            </w:r>
          </w:p>
        </w:tc>
        <w:tc>
          <w:tcPr>
            <w:tcW w:type="dxa" w:w="2160"/>
          </w:tcPr>
          <w:p>
            <w:r>
              <w:t>-0.86%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3586.34</w:t>
            </w:r>
          </w:p>
        </w:tc>
        <w:tc>
          <w:tcPr>
            <w:tcW w:type="dxa" w:w="2160"/>
          </w:tcPr>
          <w:p>
            <w:r>
              <w:t>-0.44%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1717.38</w:t>
            </w:r>
          </w:p>
        </w:tc>
        <w:tc>
          <w:tcPr>
            <w:tcW w:type="dxa" w:w="2160"/>
          </w:tcPr>
          <w:p>
            <w:r>
              <w:t>-1.13%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4663.89</w:t>
            </w:r>
          </w:p>
        </w:tc>
        <w:tc>
          <w:tcPr>
            <w:tcW w:type="dxa" w:w="2160"/>
          </w:tcPr>
          <w:p>
            <w:r>
              <w:t>-0.58%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7969.78</w:t>
            </w:r>
          </w:p>
        </w:tc>
        <w:tc>
          <w:tcPr>
            <w:tcW w:type="dxa" w:w="2160"/>
          </w:tcPr>
          <w:p>
            <w:r>
              <w:t>-0.94%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外资监测</w:t>
      </w:r>
    </w:p>
    <w:p>
      <w:r>
        <w:t xml:space="preserve">  北向活跃度：成交 25480 亿（高活跃度）</w:t>
      </w:r>
    </w:p>
    <w:p>
      <w:r>
        <w:t xml:space="preserve">  沪/深偏好：沪市 42%（偏成长进攻）</w:t>
      </w:r>
    </w:p>
    <w:p>
      <w:r>
        <w:t xml:space="preserve">  南向资金：净买入 54.8 亿（港股通，A股情绪反向指标）</w:t>
      </w:r>
      <w:r>
        <w:rPr>
          <w:color w:val="8B949E"/>
          <w:sz w:val="18"/>
        </w:rPr>
        <w:br/>
        <w:t xml:space="preserve">  注：北向净买入自2024年证监会新规后不再公开发布，方向由活跃度+南向+外部联动综合推断</w:t>
      </w:r>
    </w:p>
    <w:p>
      <w:r>
        <w:rPr>
          <w:b/>
        </w:rPr>
        <w:t>大资金方向（替代两融）：</w:t>
      </w:r>
      <w:r>
        <w:t>30 股聚合净流入 -3.99 亿  |  大单净 -5.26 亿  |  涨家 14 / 跌家 16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0.5%  |  PPI 3.5%  |  PMI 49.2  |  M2 8.0%  |  LPR 1Y 3.0%</w:t>
      </w:r>
    </w:p>
    <w:p/>
    <w:p>
      <w:pPr>
        <w:pStyle w:val="Heading2"/>
      </w:pPr>
      <w:r>
        <w:t>量化分析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