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2026-09-03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3946.83</w:t>
            </w:r>
          </w:p>
        </w:tc>
        <w:tc>
          <w:tcPr>
            <w:tcW w:type="dxa" w:w="2160"/>
          </w:tcPr>
          <w:p>
            <w:r>
              <w:t>+0.14%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13651.86</w:t>
            </w:r>
          </w:p>
        </w:tc>
        <w:tc>
          <w:tcPr>
            <w:tcW w:type="dxa" w:w="2160"/>
          </w:tcPr>
          <w:p>
            <w:r>
              <w:t>+0.30%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3320.74</w:t>
            </w:r>
          </w:p>
        </w:tc>
        <w:tc>
          <w:tcPr>
            <w:tcW w:type="dxa" w:w="2160"/>
          </w:tcPr>
          <w:p>
            <w:r>
              <w:t>+0.26%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1617.27</w:t>
            </w:r>
          </w:p>
        </w:tc>
        <w:tc>
          <w:tcPr>
            <w:tcW w:type="dxa" w:w="2160"/>
          </w:tcPr>
          <w:p>
            <w:r>
              <w:t>-0.02%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4558.46</w:t>
            </w:r>
          </w:p>
        </w:tc>
        <w:tc>
          <w:tcPr>
            <w:tcW w:type="dxa" w:w="2160"/>
          </w:tcPr>
          <w:p>
            <w:r>
              <w:t>+0.23%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7764.85</w:t>
            </w:r>
          </w:p>
        </w:tc>
        <w:tc>
          <w:tcPr>
            <w:tcW w:type="dxa" w:w="2160"/>
          </w:tcPr>
          <w:p>
            <w:r>
              <w:t>+0.46%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52.6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-39.24 亿  |  大单净 -35.79 亿  |  涨家 4 / 跌家 26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</w:t>
      </w:r>
      <w:r>
        <w:rPr>
          <w:rFonts w:ascii="微软雅黑" w:hAnsi="微软雅黑" w:eastAsia="微软雅黑"/>
          <w:b/>
          <w:color w:val="D29922"/>
          <w:sz w:val="22"/>
        </w:rPr>
        <w:t>放量滞涨、动能衰竭</w:t>
      </w:r>
      <w:r>
        <w:rPr>
          <w:rFonts w:ascii="微软雅黑" w:hAnsi="微软雅黑" w:eastAsia="微软雅黑"/>
          <w:color w:val="1A1A1A"/>
          <w:sz w:val="22"/>
        </w:rPr>
        <w:t>。上证指数较上一时段回落0.28pp至+0.14%，深证成指回落0.09pp至+0.30%，创业板指回落0.17pp至+0.26%，主要指数涨幅全面收缩，方向明确为动能衰竭而非加速或反转。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量能：成交额14017亿，较上一时段+27.6%显著放量，但指数涨幅反而收窄，属典型放量滞涨，需警惕午后筹码加速换手后的派发压力。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涨跌比：全市场上涨401家、下跌586家、平盘13家，上涨占比40.1%，市场宽度持续收缩，个股层面的赚钱效应显著弱于指数表现。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结构：沪深300涨幅+0.23%较上一时段收窄0.28pp，中证500涨幅+0.46%与上一时段基本持平，说明中小盘相对抗跌，但缺乏增量驱动。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权重股虹吸效应不明显。粗略计算沪深300成交额约3507.6亿，占两市总成交额14017亿的25%左右，远低于70%的虹吸阈值，说明资金并未集中涌向大票，反而呈现分散持仓的特征。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从成交结构看，放量主要来自题材股的换手而非权重股的主动买入，这与涨跌比仅40.1%形成印证——资金在快速轮动中试错，而非坚定主线进攻。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板块轮动层面，陶瓷行业+1.55%领涨，但成交规模有限；次新股+0.80%和有色金属+0.26%有一定跟风，但整体没有形成明确的权重防御或题材进攻的合力，反而更像资金在多个细分方向上的无序试探。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策略含义：放量+指数涨幅收窄+板块分散+涨跌比偏空，组合信号指向市场进入"高换手、低结构"的赚钱效应衰退期，不宜追涨盘中小热点。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联动共识得分为-2.7，方向偏空，恒生指数-0.23%、恒生科技-0.76%双弱，离岸人民币持平，Python预判为0看多/2看空，方向判断基本合理。但恒生指数跌幅仅0.23%，属于弱信号，恒生科技的-0.76%也尚未形成趋势性大跌，整体外部信号偏弱而非具有强趋势指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南向资金净买入52.6亿，较上一时段+14.9亿，属大幅净流入。这属于典型的内资南下信号，对A股情绪构成反向压制——内资在A股缺乏结构性机会时选择南下港股，意味着A股短线资金被分流。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背离点：外部联动偏空（恒生科技-0.76%），南向资金却大幅净买入，表面上是内资在海外做多科技，但实际上与A股呈现资金跷跷板效应。这种内外背离说明内盘自身驱动力不足，需以A股量价本身为主来判断。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综合判断：外部联动弱偏空，南向大幅流入对A股情绪偏负面，二者形成轻度共振，不支持午后出现持续性上攻。且恒生指数、恒生科技的偏弱表现会削弱港股科技对A股相关题材的映射支撑。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市场宽度连续两小时偏空（上涨占比40.1%），尚未跌破30%的冰点阈值，不构成极端反转条件，但持续偏空状态下若尾盘再度收窄，有概率在明日早盘出现冰点后的技术性反弹。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⚠️ 从昨日28%到今日36%的上涨占比变化来看，市场宽度在弱势区间内小幅修复，但远未回到50%的中性水平。若14:00时段已连续偏空超2小时，冰点反弹的观察窗口在明早而非今日尾盘。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🚨 昨日涨停溢价率-1.2%，打板亏钱效应扩散，短线资金的风险偏好明显下降。虽然本时段涨停股数量仍有9家，但涨停溢价率转负意味着核心资金不愿追涨，情绪面恶化尚未出清。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结论：短期不具备趋势性的上攻基础，反弹性质以超跌反抽为主，持续性预期需降低。若尾盘上证指数无法守住+0.10%附近，动能衰竭信号会进一步坐实。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 红灯：暂无触发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🟡 黄灯（观望信号）：南向净买入53亿，内资大幅南下分流A股短线资金；板块轮动加速，缺乏清晰主线，追涨易被套；涨跌比连续偏空，尾盘反转概率上升但时点难以把握。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🟢 绿灯：暂无触发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