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2026-08-28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3959.18</w:t>
            </w:r>
          </w:p>
        </w:tc>
        <w:tc>
          <w:tcPr>
            <w:tcW w:type="dxa" w:w="2160"/>
          </w:tcPr>
          <w:p>
            <w:r>
              <w:t>+0.07%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13988.26</w:t>
            </w:r>
          </w:p>
        </w:tc>
        <w:tc>
          <w:tcPr>
            <w:tcW w:type="dxa" w:w="2160"/>
          </w:tcPr>
          <w:p>
            <w:r>
              <w:t>-0.43%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3439.50</w:t>
            </w:r>
          </w:p>
        </w:tc>
        <w:tc>
          <w:tcPr>
            <w:tcW w:type="dxa" w:w="2160"/>
          </w:tcPr>
          <w:p>
            <w:r>
              <w:t>-0.97%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1670.08</w:t>
            </w:r>
          </w:p>
        </w:tc>
        <w:tc>
          <w:tcPr>
            <w:tcW w:type="dxa" w:w="2160"/>
          </w:tcPr>
          <w:p>
            <w:r>
              <w:t>-1.38%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4617.49</w:t>
            </w:r>
          </w:p>
        </w:tc>
        <w:tc>
          <w:tcPr>
            <w:tcW w:type="dxa" w:w="2160"/>
          </w:tcPr>
          <w:p>
            <w:r>
              <w:t>-0.28%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7917.10</w:t>
            </w:r>
          </w:p>
        </w:tc>
        <w:tc>
          <w:tcPr>
            <w:tcW w:type="dxa" w:w="2160"/>
          </w:tcPr>
          <w:p>
            <w:r>
              <w:t>-0.37%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23.9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-14.01 亿  |  大单净 -15.16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模块一：边际速览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成长股加速杀跌——创业板指较上一时段跌幅扩大0.62pp至-0.97%，科创50跌幅扩大0.65pp至-1.38%，均呈动能加速下行；较昨日同期更是分别恶化1.92pp、4.13pp，趋势反转信号明确。上证指数勉强翻红+0.07%，但较上一时段回落0.01pp，较昨日同期涨势放缓0.77pp，动能衰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指数方向</w:t>
      </w:r>
      <w:r>
        <w:rPr>
          <w:rFonts w:ascii="微软雅黑" w:hAnsi="微软雅黑" w:eastAsia="微软雅黑"/>
          <w:color w:val="1A1A1A"/>
          <w:sz w:val="22"/>
        </w:rPr>
        <w:t>：创业板、科创50、中证500（较昨日同期-2.03pp）同步加速下跌，仅上证微红，市场呈现“指数扛住、个股杀跌”的弱势结构。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量能</w:t>
      </w:r>
      <w:r>
        <w:rPr>
          <w:rFonts w:ascii="微软雅黑" w:hAnsi="微软雅黑" w:eastAsia="微软雅黑"/>
          <w:color w:val="1A1A1A"/>
          <w:sz w:val="22"/>
        </w:rPr>
        <w:t>：两市成交额17170亿，较上一时段放量20.7%，属放量下跌，抛压显著，参与度回升但方向向下。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：上涨474家/下跌514家，上涨比例47.4%，市场宽度收缩；较昨日同期70%下降19pp，赚钱效应快速退潮。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模块二：量价结构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4482.6亿元，占两市总成交17170亿的比例仅26.1%，远低于70%的虹吸阈值，权重股未形成资金抽血，题材股仍有腾挪空间。但放量过程中创业板、科创50大幅杀跌，说明资金在从高估值成长股撤离，流向低位防御性品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权重占比26.1%表明资金未集中大票，无虹吸效应，但大盘股也仅微跌，真正失血的是中小盘成长，结构性风险突出。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上，领涨的农药化肥、飞机制造、农林牧渔、化工均为中小盘题材/周期方向，权重防御板块未明显发力，资金仍在题材进攻，但轮动过快——较昨日同期领涨板块完全替换，进攻方向散乱，缺乏持续性主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模块四：内外联动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外部联动一致性分数+1.8（2看多/0看空/1中性），但三个原始信号——离岸人民币+0.04%、恒生科技+0.11%、恒生指数+0.29%——幅度均不足0.3%，属微弱信号，依规则应忽略外部联动，以内盘量价为主。外部看多信号无法解释内盘成长股加速下跌，内外含义背离但强度不够，不构成有效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南向资金净买入23.9亿元，较上一时段增加5.2亿，未超30亿强阈值，属温和净买入；作为反向指标略偏空A股情绪。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较昨日同期南向净买入收窄6.8亿，内资南下力度边际减弱，但仍未回流A股，情绪面未现转强迹象。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模块五：持续性评估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市场宽度方向：昨日 70% → 今日 51%，变化-19pp，宽度明显收缩，但尚未连续出现极端偏多或偏空，属于高速回落，若午后尾盘无法修复至50%以上，明日低开概率增大。当前涨跌比47.4%已落入多空平衡偏空区域，短线方向待选。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昨日涨停溢价率-0.6%（中位数），打板亏钱效应扩散，今日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