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 股量化报告 — 收盘报告</w:t>
      </w:r>
    </w:p>
    <w:p>
      <w:pPr>
        <w:jc w:val="center"/>
      </w:pPr>
      <w:r>
        <w:rPr>
          <w:color w:val="8B949E"/>
          <w:sz w:val="20"/>
        </w:rPr>
        <w:t>2026-09-03  |  模型: DeepSeek  |  量化交易视角</w:t>
      </w:r>
    </w:p>
    <w:p>
      <w:pPr>
        <w:pStyle w:val="Heading2"/>
      </w:pPr>
      <w:r>
        <w:t>核心指标速览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指数</w:t>
            </w:r>
          </w:p>
        </w:tc>
        <w:tc>
          <w:tcPr>
            <w:tcW w:type="dxa" w:w="2160"/>
          </w:tcPr>
          <w:p>
            <w:r>
              <w:t>点位</w:t>
            </w:r>
          </w:p>
        </w:tc>
        <w:tc>
          <w:tcPr>
            <w:tcW w:type="dxa" w:w="2160"/>
          </w:tcPr>
          <w:p>
            <w:r>
              <w:t>涨跌幅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上证指数</w:t>
            </w:r>
          </w:p>
        </w:tc>
        <w:tc>
          <w:tcPr>
            <w:tcW w:type="dxa" w:w="2160"/>
          </w:tcPr>
          <w:p>
            <w:r>
              <w:t>3941.49</w:t>
            </w:r>
          </w:p>
        </w:tc>
        <w:tc>
          <w:tcPr>
            <w:tcW w:type="dxa" w:w="2160"/>
          </w:tcPr>
          <w:p>
            <w:r>
              <w:t>+0.00%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深证成指</w:t>
            </w:r>
          </w:p>
        </w:tc>
        <w:tc>
          <w:tcPr>
            <w:tcW w:type="dxa" w:w="2160"/>
          </w:tcPr>
          <w:p>
            <w:r>
              <w:t>13626.13</w:t>
            </w:r>
          </w:p>
        </w:tc>
        <w:tc>
          <w:tcPr>
            <w:tcW w:type="dxa" w:w="2160"/>
          </w:tcPr>
          <w:p>
            <w:r>
              <w:t>+0.11%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创业板指</w:t>
            </w:r>
          </w:p>
        </w:tc>
        <w:tc>
          <w:tcPr>
            <w:tcW w:type="dxa" w:w="2160"/>
          </w:tcPr>
          <w:p>
            <w:r>
              <w:t>3312.86</w:t>
            </w:r>
          </w:p>
        </w:tc>
        <w:tc>
          <w:tcPr>
            <w:tcW w:type="dxa" w:w="2160"/>
          </w:tcPr>
          <w:p>
            <w:r>
              <w:t>+0.02%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科创50</w:t>
            </w:r>
          </w:p>
        </w:tc>
        <w:tc>
          <w:tcPr>
            <w:tcW w:type="dxa" w:w="2160"/>
          </w:tcPr>
          <w:p>
            <w:r>
              <w:t>1611.91</w:t>
            </w:r>
          </w:p>
        </w:tc>
        <w:tc>
          <w:tcPr>
            <w:tcW w:type="dxa" w:w="2160"/>
          </w:tcPr>
          <w:p>
            <w:r>
              <w:t>-0.35%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沪深300</w:t>
            </w:r>
          </w:p>
        </w:tc>
        <w:tc>
          <w:tcPr>
            <w:tcW w:type="dxa" w:w="2160"/>
          </w:tcPr>
          <w:p>
            <w:r>
              <w:t>4552.10</w:t>
            </w:r>
          </w:p>
        </w:tc>
        <w:tc>
          <w:tcPr>
            <w:tcW w:type="dxa" w:w="2160"/>
          </w:tcPr>
          <w:p>
            <w:r>
              <w:t>+0.09%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中证500</w:t>
            </w:r>
          </w:p>
        </w:tc>
        <w:tc>
          <w:tcPr>
            <w:tcW w:type="dxa" w:w="2160"/>
          </w:tcPr>
          <w:p>
            <w:r>
              <w:t>7757.27</w:t>
            </w:r>
          </w:p>
        </w:tc>
        <w:tc>
          <w:tcPr>
            <w:tcW w:type="dxa" w:w="2160"/>
          </w:tcPr>
          <w:p>
            <w:r>
              <w:t>+0.36%</w:t>
            </w:r>
          </w:p>
        </w:tc>
        <w:tc>
          <w:tcPr>
            <w:tcW w:type="dxa" w:w="2160"/>
          </w:tcPr>
          <w:p>
            <w:r/>
          </w:p>
        </w:tc>
      </w:tr>
    </w:tbl>
    <w:p/>
    <w:p>
      <w:r>
        <w:rPr>
          <w:b/>
        </w:rPr>
        <w:t>外资监测</w:t>
      </w:r>
    </w:p>
    <w:p>
      <w:r>
        <w:t xml:space="preserve">  南向资金：净买入 49.1 亿（港股通，A股情绪反向指标）</w:t>
      </w:r>
      <w:r>
        <w:rPr>
          <w:color w:val="8B949E"/>
          <w:sz w:val="18"/>
        </w:rPr>
        <w:br/>
        <w:t xml:space="preserve">  注：北向净买入自2024年证监会新规后不再公开发布，外资监测由南向资金+外部联动构成</w:t>
      </w:r>
    </w:p>
    <w:p>
      <w:r>
        <w:rPr>
          <w:b/>
        </w:rPr>
        <w:t>大资金方向（替代两融）：</w:t>
      </w:r>
      <w:r>
        <w:t>30 股聚合净流入 -39.24 亿  |  大单净 -35.79 亿  |  涨家 4 / 跌家 26</w:t>
      </w:r>
      <w:r>
        <w:rPr>
          <w:color w:val="8B949E"/>
          <w:sz w:val="18"/>
        </w:rPr>
        <w:br/>
        <w:t>注：数据来自新浪资金流（大单/特大单估算），非融资融券官方数据，仅供参考大资金方向</w:t>
      </w:r>
    </w:p>
    <w:p>
      <w:r>
        <w:rPr>
          <w:b/>
        </w:rPr>
        <w:t>宏观数据：</w:t>
      </w:r>
      <w:r>
        <w:t>CPI 0.5%  |  PPI 3.5%  |  PMI 49.2  |  M2 8.0%  |  LPR 1Y 3.0%</w:t>
      </w:r>
    </w:p>
    <w:p/>
    <w:p>
      <w:pPr>
        <w:pStyle w:val="Heading2"/>
      </w:pPr>
      <w:r>
        <w:t>量化分析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一、市场概览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本时段核心变化是：指数惯性收红，但内部结构急剧恶化，板块日内快速轮动后主线缺失，放量滞涨特征显著。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上证指数全天收于3941.49点，+0.00%，较昨日同期+1.01pp，表面看是加速上涨后的高位钝化；深证成指+0.11%，较昨日同期+1.99pp，动能边际已从"加速"切换为"衰竭"。成交额17418亿元，较上一时段骤增24.3%，但指数几乎停滞，量价背离严重——这是典型的情绪退潮前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二、核心指标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涨跌比与宽度</w:t>
      </w:r>
      <w:r>
        <w:rPr>
          <w:rFonts w:ascii="微软雅黑" w:hAnsi="微软雅黑" w:eastAsia="微软雅黑"/>
          <w:color w:val="1A1A1A"/>
          <w:sz w:val="22"/>
        </w:rPr>
        <w:t>：全市场 336 涨 / 654 跌，上涨比例仅 33.6%，中证500 与沪深300 均未有效带动个股普涨，指数与广度严重背离。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成交额</w:t>
      </w:r>
      <w:r>
        <w:rPr>
          <w:rFonts w:ascii="微软雅黑" w:hAnsi="微软雅黑" w:eastAsia="微软雅黑"/>
          <w:color w:val="1A1A1A"/>
          <w:sz w:val="22"/>
        </w:rPr>
        <w:t>：17418 亿元，较上一时段 +24.3%，放量明显，但涨势钝化，属于"放量不涨"，大单净流出趋势未改。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外资监测（南向 + 外部联动）</w:t>
      </w:r>
      <w:r>
        <w:rPr>
          <w:rFonts w:ascii="微软雅黑" w:hAnsi="微软雅黑" w:eastAsia="微软雅黑"/>
          <w:color w:val="1A1A1A"/>
          <w:sz w:val="22"/>
        </w:rPr>
        <w:t>：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南向资金（港股通）全日净买入 49.06 亿元，属"大幅净流入"，按照 A 股情绪反向指标解读——内资筹码正在南下攫取港股，A 股场内边际买力被抽走，情绪偏弱。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外部联动：恒生指数 -0.40%、恒生科技 -1.13%、离岸人民币持稳。恒生科技跌幅显著，外资对中资科技资产风险偏好收敛。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color w:val="1A1A1A"/>
          <w:sz w:val="22"/>
        </w:rPr>
        <w:t>两者叠加：南向大幅净买入 + 恒生科技走弱 = 内外资分歧扩大，以内盘量价为主线，当前内盘量价已出现宽度崩塌信号，偏空。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三、板块热点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领涨</w:t>
      </w:r>
      <w:r>
        <w:rPr>
          <w:rFonts w:ascii="微软雅黑" w:hAnsi="微软雅黑" w:eastAsia="微软雅黑"/>
          <w:color w:val="1A1A1A"/>
          <w:sz w:val="22"/>
        </w:rPr>
        <w:t>：陶瓷行业 +1.50%、次新股 +0.65%、家具行业 +0.26%，有色金属 +0.22% 勉强收红。驱动逻辑不统一，陶瓷、家具属于小市值、高换手的散户博弈品种，次新股活跃为情绪退潮期的典型特征；领涨板块较昨日同期完全替换，说明缺乏持续性主线，轮动过速。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领跌</w:t>
      </w:r>
      <w:r>
        <w:rPr>
          <w:rFonts w:ascii="微软雅黑" w:hAnsi="微软雅黑" w:eastAsia="微软雅黑"/>
          <w:color w:val="1A1A1A"/>
          <w:sz w:val="22"/>
        </w:rPr>
        <w:t>：玻璃行业 -0.19%、农林牧渔 -0.14%、造纸 -0.11%、塑料制品 -0.11%、电子信息 -0.11%。从跌幅榜看并未出现系统性抛售，属于高位窄幅整理下的普遍弱势，但幅度不深，更多是无差别减仓而非恐慌性出逃。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警示</w:t>
      </w:r>
      <w:r>
        <w:rPr>
          <w:rFonts w:ascii="微软雅黑" w:hAnsi="微软雅黑" w:eastAsia="微软雅黑"/>
          <w:color w:val="1A1A1A"/>
          <w:sz w:val="22"/>
        </w:rPr>
        <w:t>：领涨板块完全替换 + 次新股窜入涨幅榜前列，是典型的游资撤退、风格散乱信号。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四、技术信号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上证指数</w:t>
      </w:r>
      <w:r>
        <w:rPr>
          <w:rFonts w:ascii="微软雅黑" w:hAnsi="微软雅黑" w:eastAsia="微软雅黑"/>
          <w:color w:val="1A1A1A"/>
          <w:sz w:val="22"/>
        </w:rPr>
        <w:t>：日线级别高位钝化，较上一时段 -0.14pp，动能衰竭；上方缺乏明确均线压力，但连续两个时段走平，多头动能耗散。MACD 红柱缩短概率上升，RSI 脱离超买区但未跌破 50，KDJ 高位死叉迹象初现。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深证成指</w:t>
      </w:r>
      <w:r>
        <w:rPr>
          <w:rFonts w:ascii="微软雅黑" w:hAnsi="微软雅黑" w:eastAsia="微软雅黑"/>
          <w:color w:val="1A1A1A"/>
          <w:sz w:val="22"/>
        </w:rPr>
        <w:t>：+0.11%，较上一时段 -0.19pp，同步钝化，日线结构弱于上证。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创业板指</w:t>
      </w:r>
      <w:r>
        <w:rPr>
          <w:rFonts w:ascii="微软雅黑" w:hAnsi="微软雅黑" w:eastAsia="微软雅黑"/>
          <w:color w:val="1A1A1A"/>
          <w:sz w:val="22"/>
        </w:rPr>
        <w:t>：+0.02%，较昨日同期 +2.38pp 的加速动能完全消退，是本轮权重中弹性最大的品种，但其动能衰竭速度也最快，代表高风险偏好资金撤退。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</w:t>
      </w:r>
      <w:r>
        <w:rPr>
          <w:rFonts w:ascii="微软雅黑" w:hAnsi="微软雅黑" w:eastAsia="微软雅黑"/>
          <w:color w:val="1A1A1A"/>
          <w:sz w:val="22"/>
        </w:rPr>
        <w:t>：-0.35%，较上一时段 -0.33pp 加速下跌，是全场唯一加速下行的指数，前期领涨科技方向转弱，风格切换信号明确。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关键位置</w:t>
      </w:r>
      <w:r>
        <w:rPr>
          <w:rFonts w:ascii="微软雅黑" w:hAnsi="微软雅黑" w:eastAsia="微软雅黑"/>
          <w:color w:val="1A1A1A"/>
          <w:sz w:val="22"/>
        </w:rPr>
        <w:t>：上证关注 3940 点一线多空分水岭，若明日跌破今日最低点则确认短线转弱；向上若缩量反抽 3950 以上，依旧按诱多处理。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五、量化视角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资金流向（新浪样本）</w:t>
      </w:r>
      <w:r>
        <w:rPr>
          <w:rFonts w:ascii="微软雅黑" w:hAnsi="微软雅黑" w:eastAsia="微软雅黑"/>
          <w:color w:val="1A1A1A"/>
          <w:sz w:val="22"/>
        </w:rPr>
        <w:t>：30 只样本中，仅 4 只净流入，26 只净流出，总净额 -39.24 亿元，其中大单净额 -35.79 亿元。大单资金全天持续撤离，指数翻红完全由中小单承接，延续性极差。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量价关系</w:t>
      </w:r>
      <w:r>
        <w:rPr>
          <w:rFonts w:ascii="微软雅黑" w:hAnsi="微软雅黑" w:eastAsia="微软雅黑"/>
          <w:color w:val="1A1A1A"/>
          <w:sz w:val="22"/>
        </w:rPr>
        <w:t>：成交额较上一时段 +24.3%，但上证指数 0.00%、深成指 +0.11%，放量不涨，属于典型的多头陷阱形态。若明日成交回落至 16000 亿以下且指数失守今日低点，则确认阶段性顶部。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市场宽度</w:t>
      </w:r>
      <w:r>
        <w:rPr>
          <w:rFonts w:ascii="微软雅黑" w:hAnsi="微软雅黑" w:eastAsia="微软雅黑"/>
          <w:color w:val="1A1A1A"/>
          <w:sz w:val="22"/>
        </w:rPr>
        <w:t>：涨跌比 0.51（336/654），涨跌停比 8/4，但需注意 8 只涨停中多为 ST 及低位超跌品种，实际赚钱效应远弱于表面数字。上涨比例 33.6%，如果剔除权重护盘因素，实际散户体感应当更接近 30% 以下。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六、宏观背景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通胀与景气</w:t>
      </w:r>
      <w:r>
        <w:rPr>
          <w:rFonts w:ascii="微软雅黑" w:hAnsi="微软雅黑" w:eastAsia="微软雅黑"/>
          <w:color w:val="1A1A1A"/>
          <w:sz w:val="22"/>
        </w:rPr>
        <w:t>：7 月 CPI 同比 +0.5%（前值 1.0%）、核心 CPI +0.9%、PPI 同比 +3.5%（前值 4.1%），输入性通胀压力缓解，但内需定价仍偏弱。7 月制造业 PMI 49.2，低于荣枯线，为 5 个月最低，服务业 PMI 49.3 同步走弱，基本面对高估值科技成长方向的支撑不足。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流动性与利率</w:t>
      </w:r>
      <w:r>
        <w:rPr>
          <w:rFonts w:ascii="微软雅黑" w:hAnsi="微软雅黑" w:eastAsia="微软雅黑"/>
          <w:color w:val="1A1A1A"/>
          <w:sz w:val="22"/>
        </w:rPr>
        <w:t>：M2 同比 +8.0%，M1 +4.0%，企业活期存款增速偏低，资金活化程度有限。1 年期 LPR 3.0%、5 年期 LPR 3.5%，连续 14 个月不变，政策利率持观望态度。商业银行净息差 1.4% 处于历史最低水平，短期降息空间受约束。在无增量政策催化剂背景下，指数向上需要更多真实盈利支撑而非单纯放量博弈。</w:t>
      </w:r>
    </w:p>
    <w:p>
      <w:pPr>
        <w:spacing w:after="120"/>
      </w:pPr>
      <w:r>
        <w:rPr>
          <w:rFonts w:ascii="微软雅黑" w:hAnsi="微软雅黑" w:eastAsia="微软雅黑"/>
          <w:b/>
          <w:color w:val="D29922"/>
          <w:sz w:val="22"/>
        </w:rPr>
        <w:t>商品与汇率</w:t>
      </w:r>
      <w:r>
        <w:rPr>
          <w:rFonts w:ascii="微软雅黑" w:hAnsi="微软雅黑" w:eastAsia="微软雅黑"/>
          <w:color w:val="1A1A1A"/>
          <w:sz w:val="22"/>
        </w:rPr>
        <w:t>：伦敦金 +0.74%、COMEX 黄金 +1.18%，避险资产上行；WTI 原油 -0.05%、LME 铜 -0.08%，工业品偏弱，与 PPI 回落及全球需求走软互洽。离岸人民币 6.7178，升值方向，有利于抑制外资流出预期，但今日恒生科技走弱表明外资并未顺势加仓 A 股科技类资产。</w:t>
      </w:r>
    </w:p>
    <w:p>
      <w:pPr>
        <w:pStyle w:val="Heading2"/>
      </w:pPr>
      <w:r>
        <w:rPr>
          <w:rFonts w:ascii="微软雅黑" w:hAnsi="微软雅黑" w:eastAsia="微软雅黑"/>
          <w:color w:val="1A1A1A"/>
          <w:sz w:val="22"/>
        </w:rPr>
        <w:t>七、风险提示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量价背离</w:t>
      </w:r>
      <w:r>
        <w:rPr>
          <w:rFonts w:ascii="微软雅黑" w:hAnsi="微软雅黑" w:eastAsia="微软雅黑"/>
          <w:color w:val="1A1A1A"/>
          <w:sz w:val="22"/>
        </w:rPr>
        <w:t>：放量 24.3% 但指数停滞，是当日最危险信号。历史上放量滞涨后次日下跌概率较高，尤其在市场宽度崩坏的背景下。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板块快速轮动</w:t>
      </w:r>
      <w:r>
        <w:rPr>
          <w:rFonts w:ascii="微软雅黑" w:hAnsi="微软雅黑" w:eastAsia="微软雅黑"/>
          <w:color w:val="1A1A1A"/>
          <w:sz w:val="22"/>
        </w:rPr>
        <w:t>：领涨板块完全替换，次新股活跃，缺乏产业趋势主线，情绪退潮期特征明显。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科创50加速下跌</w:t>
      </w:r>
      <w:r>
        <w:rPr>
          <w:rFonts w:ascii="微软雅黑" w:hAnsi="微软雅黑" w:eastAsia="微软雅黑"/>
          <w:color w:val="1A1A1A"/>
          <w:sz w:val="22"/>
        </w:rPr>
        <w:t>：科技主线带头走弱，若明日继续下探，将拖累创业板指和整个赛道股估值。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南向资金异常</w:t>
      </w:r>
      <w:r>
        <w:rPr>
          <w:rFonts w:ascii="微软雅黑" w:hAnsi="微软雅黑" w:eastAsia="微软雅黑"/>
          <w:color w:val="1A1A1A"/>
          <w:sz w:val="22"/>
        </w:rPr>
        <w:t>：净买入近 50 亿，内资借道港股的行为可能加剧 A 股场内流动性紧张。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D29922"/>
          <w:sz w:val="22"/>
        </w:rPr>
        <w:t>外资联动偏空</w:t>
      </w:r>
      <w:r>
        <w:rPr>
          <w:rFonts w:ascii="微软雅黑" w:hAnsi="微软雅黑" w:eastAsia="微软雅黑"/>
          <w:color w:val="1A1A1A"/>
          <w:sz w:val="22"/>
        </w:rPr>
        <w:t>：恒生科技跌超 1%，外部风险偏好收敛，与 A 股权重走势背离，不可忽视尾部风险。</w:t>
      </w:r>
    </w:p>
    <w:p>
      <w:pPr>
        <w:spacing w:after="120"/>
      </w:pPr>
      <w:r>
        <w:rPr>
          <w:rFonts w:ascii="微软雅黑" w:hAnsi="微软雅黑" w:eastAsia="微软雅黑"/>
          <w:color w:val="1A1A1A"/>
          <w:sz w:val="22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p/>
    <w:p>
      <w:r>
        <w:rPr>
          <w:color w:val="8B949E"/>
          <w:sz w:val="16"/>
        </w:rPr>
        <w:t>⚠️ 免责声明：本报告由 AI 自动生成，仅供参考，不构成任何投资建议。投资有风险，入市需谨慎。报告中的数据来源于公开接口，不对其准确性做任何保证。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