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3950.02</w:t>
            </w:r>
          </w:p>
        </w:tc>
        <w:tc>
          <w:tcPr>
            <w:tcW w:type="dxa" w:w="2160"/>
          </w:tcPr>
          <w:p>
            <w:r>
              <w:t>-0.04%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13723.32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3354.97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1580.06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4570.32</w:t>
            </w:r>
          </w:p>
        </w:tc>
        <w:tc>
          <w:tcPr>
            <w:tcW w:type="dxa" w:w="2160"/>
          </w:tcPr>
          <w:p>
            <w:r>
              <w:t>-0.05%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7767.80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表现显著分化——科创50较上一时段加速上涨（+0.62pp），而上证指数、沪深300分别较上一时段加速下跌0.38pp、0.40pp，深证/创业板/中证500横盘延续，整体仍属存量博弈下的动能分化而非趋势反转。隔夜纳斯达克下跌0.64%，富时A50期货数据缺失，无法直接推断外资开盘方向；但纳指走弱对昨日逆势走强的科创50构成情绪压制，今日科技成长方向或面临高开乏力、量能承接不足的考验。鉴于上证/沪深300边际动能已走弱，开盘大概率低开或平开偏弱，科创50若未能放量收复昨日分时高点，警惕加速上涨后的动能衰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收盘对比显示，上证指数较上一时段加速下跌0.38pp、较昨日同期仅微跌0.04%，沪深300边际变化类似，说明盘中空头动能边际增强，但日线横盘格局未破；科创50较上一时段加速上涨0.62pp，与隔夜纳指回落形成内外成长风格背离，今日重点关注其能否在量能配合下延续强势，若缩量滞涨则可能回吐涨幅。宏观面，7月CPI同比0.5%（前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