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午后更新</w:t>
      </w:r>
    </w:p>
    <w:p>
      <w:pPr>
        <w:jc w:val="center"/>
      </w:pPr>
      <w:r>
        <w:rPr>
          <w:color w:val="8B949E"/>
          <w:sz w:val="20"/>
        </w:rPr>
        <w:t>2026-08-25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3886.04</w:t>
            </w:r>
          </w:p>
        </w:tc>
        <w:tc>
          <w:tcPr>
            <w:tcW w:type="dxa" w:w="2160"/>
          </w:tcPr>
          <w:p>
            <w:r>
              <w:t>+0.10%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13730.85</w:t>
            </w:r>
          </w:p>
        </w:tc>
        <w:tc>
          <w:tcPr>
            <w:tcW w:type="dxa" w:w="2160"/>
          </w:tcPr>
          <w:p>
            <w:r>
              <w:t>-0.46%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3396.05</w:t>
            </w:r>
          </w:p>
        </w:tc>
        <w:tc>
          <w:tcPr>
            <w:tcW w:type="dxa" w:w="2160"/>
          </w:tcPr>
          <w:p>
            <w:r>
              <w:t>-1.04%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1601.16</w:t>
            </w:r>
          </w:p>
        </w:tc>
        <w:tc>
          <w:tcPr>
            <w:tcW w:type="dxa" w:w="2160"/>
          </w:tcPr>
          <w:p>
            <w:r>
              <w:t>-0.07%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4547.16</w:t>
            </w:r>
          </w:p>
        </w:tc>
        <w:tc>
          <w:tcPr>
            <w:tcW w:type="dxa" w:w="2160"/>
          </w:tcPr>
          <w:p>
            <w:r>
              <w:t>-0.35%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7700.44</w:t>
            </w:r>
          </w:p>
        </w:tc>
        <w:tc>
          <w:tcPr>
            <w:tcW w:type="dxa" w:w="2160"/>
          </w:tcPr>
          <w:p>
            <w:r>
              <w:t>-0.22%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南向资金：净卖出 40.7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58.72 亿  |  大单净 56.29 亿  |  涨家 20 / 跌家 10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模块一：边际速览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本时段核心变化是深市指数较昨日同期全线大幅修复（创业板 +3.54pp / 科创50 +4.38pp），但日内仍收负，属于跌势收敛型反弹而非动能反转。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指数方向：上证 +0.10%（较上一时段 +0.25pp，横盘延续）；深证成指 / 创业板指 / 中证500 较昨日同期分别 +2.78pp / +3.54pp / +2.62pp，跌势减弱但未翻红——判定为</w:t>
      </w:r>
      <w:r>
        <w:rPr>
          <w:rFonts w:ascii="微软雅黑" w:hAnsi="微软雅黑" w:eastAsia="微软雅黑"/>
          <w:b/>
          <w:color w:val="D29922"/>
          <w:sz w:val="22"/>
        </w:rPr>
        <w:t>趋势反转酝酿期，信号未确认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量能：总成交额 15086 亿，较上一时段放量 +31.5%，午后增量资金入场明确，市场参与度显著回升。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涨跌比：上涨 760 家 / 下跌 234 家，up_ratio 76%，较昨日同期 20% 的极端偏空大幅扩张，市场宽度持续改善。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模块二：量价结构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沪深300成交额 3980.5 亿 / 两市总成交额 15086 亿，权重占比约 26.4%，远低于 70% 虹吸阈值，资金未向大票单边集中。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领涨板块为陶瓷行业（+1.64%）、仪器仪表（+0.31%）、生物制药（+0.29%），均为题材或防御型方向，权重金融/白酒不在前列——当前是</w:t>
      </w:r>
      <w:r>
        <w:rPr>
          <w:rFonts w:ascii="微软雅黑" w:hAnsi="微软雅黑" w:eastAsia="微软雅黑"/>
          <w:b/>
          <w:color w:val="D29922"/>
          <w:sz w:val="22"/>
        </w:rPr>
        <w:t>题材进攻 + 防御轮动并存</w:t>
      </w:r>
      <w:r>
        <w:rPr>
          <w:rFonts w:ascii="微软雅黑" w:hAnsi="微软雅黑" w:eastAsia="微软雅黑"/>
          <w:color w:val="1A1A1A"/>
          <w:sz w:val="22"/>
        </w:rPr>
        <w:t>，非权重护盘格局。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涨停12家、跌停仅2家，个股活跃度尚可，但涨停家数绝对值偏低，资金高度分散在普涨而非强势连板链条上。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量价背离信号：成交额放量但指数仅横盘/微跌，量能在高位换手而非趋势推动，需警惕午后多头增量消耗过快。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模块四：内外联动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恒生科技 +0.01%、恒生指数 -0.03%、离岸人民币 +0.03%（贬值），三者幅度均在 ±0.03% 以内，全部为微弱信号。Python 预判合理：微弱信号 3 个 →</w:t>
      </w:r>
      <w:r>
        <w:rPr>
          <w:rFonts w:ascii="微软雅黑" w:hAnsi="微软雅黑" w:eastAsia="微软雅黑"/>
          <w:b/>
          <w:color w:val="D29922"/>
          <w:sz w:val="22"/>
        </w:rPr>
        <w:t>忽略外部联动，以内盘量价为主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南向资金净卖出 40.66 亿，较上一时段扩大 16.4 亿，较昨日同期收窄 52.7 亿。净卖出扩大方向指向</w:t>
      </w:r>
      <w:r>
        <w:rPr>
          <w:rFonts w:ascii="微软雅黑" w:hAnsi="微软雅黑" w:eastAsia="微软雅黑"/>
          <w:b/>
          <w:color w:val="D29922"/>
          <w:sz w:val="22"/>
        </w:rPr>
        <w:t>内资回流 A 股边际增强</w:t>
      </w:r>
      <w:r>
        <w:rPr>
          <w:rFonts w:ascii="微软雅黑" w:hAnsi="微软雅黑" w:eastAsia="微软雅黑"/>
          <w:color w:val="1A1A1A"/>
          <w:sz w:val="22"/>
        </w:rPr>
        <w:t>，但需注意沪市净流出（-27.09亿）大于深市（-13.57亿），与深市今日更弱的走势形成局部背离。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外部联动分歧加大，A50 无数据、港股与 CNH 信号微弱，内外盘各自独立运行，不构成有效外部验证。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模块五：持续性评估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涨跌比 76% 较昨日同期 20% 大幅改善，今日从 62%（11:33 时段）至 76% 持续扩张，市场宽度回暖趋势成立。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🔄 市场宽度反转确认：昨日偏空（20%）→ 今日偏多（76%），情绪修复具有连续性。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🚨 涨停溢价率 -0.3%（中位数），打板亏钱效应扩散，短线情绪与指数反弹</w:t>
      </w:r>
      <w:r>
        <w:rPr>
          <w:rFonts w:ascii="微软雅黑" w:hAnsi="微软雅黑" w:eastAsia="微软雅黑"/>
          <w:b/>
          <w:color w:val="D29922"/>
          <w:sz w:val="22"/>
        </w:rPr>
        <w:t>出现背离</w:t>
      </w:r>
      <w:r>
        <w:rPr>
          <w:rFonts w:ascii="微软雅黑" w:hAnsi="微软雅黑" w:eastAsia="微软雅黑"/>
          <w:color w:val="1A1A1A"/>
          <w:sz w:val="22"/>
        </w:rPr>
        <w:t>——涨跌比的高读数可能来自跌停少而非涨停强，追涨资金实际处于亏损状态。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板块轮动延续昨日特征：领涨板块几乎完全替换（陶瓷、仪器仪表、生物制药接替），缺乏持续主线，普涨质量成色不足。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模块六：红黄绿灯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🟡 黄灯（重点）</w:t>
      </w:r>
      <w:r>
        <w:rPr>
          <w:rFonts w:ascii="微软雅黑" w:hAnsi="微软雅黑" w:eastAsia="微软雅黑"/>
          <w:color w:val="1A1A1A"/>
          <w:sz w:val="22"/>
        </w:rPr>
        <w:t>：本时段综合信号偏中性，不宜重仓追涨。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🟡 外部方向分歧（一致性分数 +0.0，信号不可靠），以内盘自身量价为准。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🟡 板块轮动加速、主线不清晰，追涨易被套；涨停溢价率 -0.3%，短线情绪拮抗。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🟢 涨跌比 76% 偏暖，南向净卖出 41 亿 + 上证收涨，防守端内外资未形成压力，但该信号仅作用于中线底色，不改变短线黄灯判定。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🔴 暂无触发。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