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3899.33</w:t>
            </w:r>
          </w:p>
        </w:tc>
        <w:tc>
          <w:tcPr>
            <w:tcW w:type="dxa" w:w="2160"/>
          </w:tcPr>
          <w:p>
            <w:r>
              <w:t>-0.03%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14110.12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3515.56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1700.77</w:t>
            </w:r>
          </w:p>
        </w:tc>
        <w:tc>
          <w:tcPr>
            <w:tcW w:type="dxa" w:w="2160"/>
          </w:tcPr>
          <w:p>
            <w:r>
              <w:t>-0.03%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4650.22</w:t>
            </w:r>
          </w:p>
        </w:tc>
        <w:tc>
          <w:tcPr>
            <w:tcW w:type="dxa" w:w="2160"/>
          </w:tcPr>
          <w:p>
            <w:r>
              <w:t>-0.02%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7827.26</w:t>
            </w:r>
          </w:p>
        </w:tc>
        <w:tc>
          <w:tcPr>
            <w:tcW w:type="dxa" w:w="2160"/>
          </w:tcPr>
          <w:p>
            <w:r>
              <w:t>-0.03%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走势显著分化，创业板指加速上涨（+0.52pp），而沪指与科创50加速下跌（-0.61pp/-0.45pp），市场风格在开盘前夜向成长股剧烈倾斜。同时，板块轮动速度加快，领涨板块被全新面孔完全替换，暗示场内资金高度博弈，缺乏持续性主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前集合竞价数据显示，市场并未延续统一的弱势，而是呈现极端的结构分化。主板与科创板承压，显示传统权重和部分硬科技面临抛压；而创业板在集合竞价阶段获得资金快速推升，市场风险偏好出现定向修复，主要动能集中在超跌成长或新晋热点题材股。隔夜外盘波动不大，A股更多在演绎自身的存量博弈与高低切换逻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指数分化监测：</w:t>
      </w:r>
      <w:r>
        <w:rPr>
          <w:rFonts w:ascii="微软雅黑" w:hAnsi="微软雅黑" w:eastAsia="微软雅黑"/>
          <w:color w:val="1A1A1A"/>
          <w:sz w:val="22"/>
        </w:rPr>
        <w:t>上证指数-0.03%（较上一时段</w:t>
      </w:r>
      <w:r>
        <w:rPr>
          <w:rFonts w:ascii="微软雅黑" w:hAnsi="微软雅黑" w:eastAsia="微软雅黑"/>
          <w:color w:val="1A1A1A"/>
          <w:sz w:val="22"/>
        </w:rPr>
        <w:t>-0.61pp，加速下跌</w:t>
      </w:r>
      <w:r>
        <w:rPr>
          <w:rFonts w:ascii="微软雅黑" w:hAnsi="微软雅黑" w:eastAsia="微软雅黑"/>
          <w:color w:val="1A1A1A"/>
          <w:sz w:val="22"/>
        </w:rPr>
        <w:t>）；科创50 -0.03%（-0.45pp，加速下跌）。与之形成鲜明对比的是，创业板指+0.00%（</w:t>
      </w:r>
      <w:r>
        <w:rPr>
          <w:rFonts w:ascii="微软雅黑" w:hAnsi="微软雅黑" w:eastAsia="微软雅黑"/>
          <w:color w:val="1A1A1A"/>
          <w:sz w:val="22"/>
        </w:rPr>
        <w:t>+0.52pp，加速上涨</w:t>
      </w:r>
      <w:r>
        <w:rPr>
          <w:rFonts w:ascii="微软雅黑" w:hAnsi="微软雅黑" w:eastAsia="微软雅黑"/>
          <w:color w:val="1A1A1A"/>
          <w:sz w:val="22"/>
        </w:rPr>
        <w:t>）。较昨日同期，各指数看似横盘，但内部动能已发生剧烈偏移。这是典型的场内资金从高估值防御或拥挤赛道（如前期权重）撤出，向超跌或新催化方向（创业板）迁移的信号。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量能与外资前瞻：</w:t>
      </w:r>
      <w:r>
        <w:rPr>
          <w:rFonts w:ascii="微软雅黑" w:hAnsi="微软雅黑" w:eastAsia="微软雅黑"/>
          <w:color w:val="1A1A1A"/>
          <w:sz w:val="22"/>
        </w:rPr>
        <w:t>集合竞价尚无法提供有效的成交额与外资数据，但考虑到隔夜纳斯达克仅微跌0.06%，全球科技股情绪平稳，外部传导压力极小。今日盘前核心观察点将是开盘后30分钟北向资金的流动方向，若北向资金开盘即倾向深市，将强化创业板当前的强势结构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领涨板块：</w:t>
      </w:r>
      <w:r>
        <w:rPr>
          <w:rFonts w:ascii="微软雅黑" w:hAnsi="微软雅黑" w:eastAsia="微软雅黑"/>
          <w:color w:val="1A1A1A"/>
          <w:sz w:val="22"/>
        </w:rPr>
        <w:t>船舶制造、传媒娱乐、玻璃行业。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核心驱动分析：</w:t>
      </w:r>
      <w:r>
        <w:rPr>
          <w:rFonts w:ascii="微软雅黑" w:hAnsi="微软雅黑" w:eastAsia="微软雅黑"/>
          <w:color w:val="1A1A1A"/>
          <w:sz w:val="22"/>
        </w:rPr>
        <w:t>⚠️ 异常信号：板块快速轮动。</w:t>
      </w:r>
      <w:r>
        <w:rPr>
          <w:rFonts w:ascii="微软雅黑" w:hAnsi="微软雅黑" w:eastAsia="微软雅黑"/>
          <w:color w:val="1A1A1A"/>
          <w:sz w:val="22"/>
        </w:rPr>
        <w:t>今日领涨板块完全替换了上一交易日的陶瓷、煤炭、有色。这并非行业轮动，而是热点的一日游式切换。船舶制造属于地缘政治与军工订单逻辑；传媒娱乐是AI应用端与暑期档预期；玻璃行业则与地产竣工链及光伏玻璃价格波动相关。三者逻辑完全独立，且均为消息驱动型拉升，这表明市场缺乏内生性上涨动力，纯粹由短期催化资金主导，风险在积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动能加速。在整体横盘的背景下，较上一时段的跳升暗示其5分钟及15分钟级别的分时图技术指标（如RSI/KDJ）已从低位完成金叉并快速进入强势区域。这是短线动能反转向上的明确信号，但需注意，若开盘后无法放量上攻，极容易形成分时级别的顶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上证指数/科创50：</w:t>
      </w:r>
      <w:r>
        <w:rPr>
          <w:rFonts w:ascii="微软雅黑" w:hAnsi="微软雅黑" w:eastAsia="微软雅黑"/>
          <w:color w:val="1A1A1A"/>
          <w:sz w:val="22"/>
        </w:rPr>
        <w:t>动能衰竭转向加速走弱。尽管绝对跌幅极小，但边际变化为负且加速，显示承接无力。技术上，上述指数在日线级别若未能守住关键支撑，其15分钟级别的下跌中继形态或被确认，预示着日内调整压力可能集中释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资金流向推演：</w:t>
      </w:r>
      <w:r>
        <w:rPr>
          <w:rFonts w:ascii="微软雅黑" w:hAnsi="微软雅黑" w:eastAsia="微软雅黑"/>
          <w:color w:val="1A1A1A"/>
          <w:sz w:val="22"/>
        </w:rPr>
        <w:t>当前的领涨结构高度不稳定（板块快速轮动），这通常是“量化拆单”和游资“电风扇”行情的特征。资金在不同冷门或消息刺激板块间极速穿梭，试图以最小成本维护市场热度，但容错率极低。前期强势的有色、煤炭被抛弃，表明追高风险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市场宽度前瞻：</w:t>
      </w:r>
      <w:r>
        <w:rPr>
          <w:rFonts w:ascii="微软雅黑" w:hAnsi="微软雅黑" w:eastAsia="微软雅黑"/>
          <w:color w:val="1A1A1A"/>
          <w:sz w:val="22"/>
        </w:rPr>
        <w:t>尽管指数涨跌互现，但领涨板块完全替换这一事实，意味着昨日的领涨股今日很可能已经出现在跌幅榜上。市场实际的赚钱效应并不好，追高策略被高度压制。今日开盘需重点观察上涨家数与下跌家数的对比，若指数震荡但多数个股转跌，则需警惕“虚假繁荣”后的全面转弱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PMI收缩的持续压制：</w:t>
      </w:r>
      <w:r>
        <w:rPr>
          <w:rFonts w:ascii="微软雅黑" w:hAnsi="微软雅黑" w:eastAsia="微软雅黑"/>
          <w:color w:val="1A1A1A"/>
          <w:sz w:val="22"/>
        </w:rPr>
        <w:t>核心宏观背景未变。7月制造业PMI录得49.2，跌破荣枯线，创5个月新低；服务业PMI同步回落至49.3。这从总量层面框定了市场整体偏弱的基调。当前盘面上的结构性热度（创业板），更像是弱市框架下，对“高技术制造业PMI 53.3%逆势扩张”的定向映射，而非全面做多信号。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流动性僵局：</w:t>
      </w:r>
      <w:r>
        <w:rPr>
          <w:rFonts w:ascii="微软雅黑" w:hAnsi="微软雅黑" w:eastAsia="微软雅黑"/>
          <w:color w:val="1A1A1A"/>
          <w:sz w:val="22"/>
        </w:rPr>
        <w:t>LPR已连续14个月未动，而商业银行净息差（1.4%）处于历史最低水平，政策利率进一步下调的空间和效果均受限。社融同比少增8,606亿元，显示实体融资需求偏弱。此宏观组合决定了市场无法发动全局性行情，只能进行此起彼伏的存量博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轮动失速风险：</w:t>
      </w:r>
      <w:r>
        <w:rPr>
          <w:rFonts w:ascii="微软雅黑" w:hAnsi="微软雅黑" w:eastAsia="微软雅黑"/>
          <w:color w:val="1A1A1A"/>
          <w:sz w:val="22"/>
        </w:rPr>
        <w:t>板块高速轮动且毫无逻辑关联，是市场情绪脆弱、信心不足的直接体现。一旦消息催化跟不上，轮动将迅速停止并演变为普跌。今日开盘冲高的船舶、传媒等板块，追涨风险极大。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指数背离风险：</w:t>
      </w:r>
      <w:r>
        <w:rPr>
          <w:rFonts w:ascii="微软雅黑" w:hAnsi="微软雅黑" w:eastAsia="微软雅黑"/>
          <w:color w:val="1A1A1A"/>
          <w:sz w:val="22"/>
        </w:rPr>
        <w:t>沪指与创业板指的显著背离不可持续。若宏观经济背景偏弱，创业板指缺乏独自走牛的基础。这种背离最终多以较强势一方补跌来收敛。需警惕早盘创业板带动的冲高，成为日内高点的可能。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宏观数据催化：</w:t>
      </w:r>
      <w:r>
        <w:rPr>
          <w:rFonts w:ascii="微软雅黑" w:hAnsi="微软雅黑" w:eastAsia="微软雅黑"/>
          <w:color w:val="1A1A1A"/>
          <w:sz w:val="22"/>
        </w:rPr>
        <w:t>在PMI、社融等数据持续偏弱的背景下，市场对政策的敏感度极高。任何政策预期落空或不及预期，都可能引发市场情绪崩塌。当下行情的脆弱性远高于其展现出的局部热度。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