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3979.87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13872.38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3393.43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1647.44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4611.44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7858.30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隔夜纳斯达克下跌1.03%，对A股科技成长板块形成情绪压制，但富时A50期货及恒生指数等外部联动数据缺失，仅凭纳指单点下跌判断开盘方向信号强度有限。昨日同期（09:25）上证指数较昨日同期+0.01pp、深证成指+0.00pp、创业板指+0.00pp、科创50 -0.01pp、沪深300 +0.00pp、中证500 -0.00pp，各指数边际变化接近零，属于动能衰竭的横盘延续，尚无趋势反转迹象。纳指回落反映海外风险偏好降温，A股开盘大概率小幅低开，但若低开后量能未同步放大，则不易形成有效破位，维持震荡格局的概率较高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本时段核心变化是宏观数据偏弱与流动性平稳的分歧：7月CPI同比0.5%（前值1.0%）、PPI同比3.5%（前值4.1%）、制造业PMI 49.2（荣枯线下），显示经济修复斜率放缓；同时LPR连续14个月不变、M2同比8.0%，流动性未进一步收紧。昨日同期各指数横盘，沪深300较昨日同期+0.00pp、中证500 -0.00pp，说明权重与中小盘均无方向，市场宽度偏窄。今日需重点观察：①创业板指（较昨日同期+0.00pp）与科创50（-0.01pp）在纳指下跌后是否低开高走或放量破位，低开高走属动能衰竭后的反抽，放量破位则警惕趋势反转；②防御性高股息板块可能承接避险资金，关注量价是否出现剪刀差；③关键位置：上证指数若低开幅度超过0.5%且30分钟成交额低于昨日同期均量，则弱势震荡概率大；若快速回补缺口且量能放大，则视为承接有效。数据日历方面，8月中旬央行将发布7月金融数据，M1/M2及社融变化可能修正流动性预期，需防范数据不及预期带来的盘中波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