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2026-08-11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3966.25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14316.96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3537.21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1737.77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4701.44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8030.95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隔夜纳斯达克指数收跌0.32%，科技股承压，这对A股科技成长板块开盘情绪形成轻微压制。但值得注意的是，昨日收盘数据显示创业板指与科创50指数呈现“加速上涨”态势，较上一时段分别加速0.75pp和0.36pp，显示出较强的内生韧性。预计A股将平开或小幅低开，市场焦点在于成长板块能否延续强势，从而抵消美股走弱带来的负面传导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板块快速轮动与成长股动能加速形成背离，市场缺乏主线共识。昨日领涨板块已被传媒娱乐、船舶制造等行业完全替换，这种“一日游”轮动是典型的弱势震荡信号，追高风险极大。宏观层面，7月CPI同比回落至0.5%，PPI同比涨幅收窄至3.5%，叠加制造业PMI已跌破荣枯线，基本面呈“弱现实”格局。在此背景下，今日需从量化视角密切关注两点：一是全市场成交额能否放大，若量能萎缩，则成长板块的加速上涨可能进入动能衰竭阶段；二是观察科创50指数在关键技术位的表现，它是当前唯一具备进攻形态的指数，其走势将决定市场是向上寻求突破还是重回弱势震荡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