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2026-08-31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3944.21</w:t>
            </w:r>
          </w:p>
        </w:tc>
        <w:tc>
          <w:tcPr>
            <w:tcW w:type="dxa" w:w="2160"/>
          </w:tcPr>
          <w:p>
            <w:r>
              <w:t>-0.20%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13814.16</w:t>
            </w:r>
          </w:p>
        </w:tc>
        <w:tc>
          <w:tcPr>
            <w:tcW w:type="dxa" w:w="2160"/>
          </w:tcPr>
          <w:p>
            <w:r>
              <w:t>-1.00%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3380.42</w:t>
            </w:r>
          </w:p>
        </w:tc>
        <w:tc>
          <w:tcPr>
            <w:tcW w:type="dxa" w:w="2160"/>
          </w:tcPr>
          <w:p>
            <w:r>
              <w:t>-1.28%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1635.39</w:t>
            </w:r>
          </w:p>
        </w:tc>
        <w:tc>
          <w:tcPr>
            <w:tcW w:type="dxa" w:w="2160"/>
          </w:tcPr>
          <w:p>
            <w:r>
              <w:t>-1.61%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4572.11</w:t>
            </w:r>
          </w:p>
        </w:tc>
        <w:tc>
          <w:tcPr>
            <w:tcW w:type="dxa" w:w="2160"/>
          </w:tcPr>
          <w:p>
            <w:r>
              <w:t>-0.80%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7817.71</w:t>
            </w:r>
          </w:p>
        </w:tc>
        <w:tc>
          <w:tcPr>
            <w:tcW w:type="dxa" w:w="2160"/>
          </w:tcPr>
          <w:p>
            <w:r>
              <w:t>-0.98%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35.1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23.73 亿  |  大单净 23.6 亿  |  涨家 23 / 跌家 7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</w:t>
      </w:r>
      <w:r>
        <w:rPr>
          <w:rFonts w:ascii="微软雅黑" w:hAnsi="微软雅黑" w:eastAsia="微软雅黑"/>
          <w:b/>
          <w:color w:val="D29922"/>
          <w:sz w:val="22"/>
        </w:rPr>
        <w:t>放量滞跌——成交额激增31.5%但指数仅微幅下移，抛压被大量承接，但承接方向偏中小盘而非权重，结构分化加剧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上午收盘，上证指数-0.20%报3944.21点，深成指-1.00%报13814.16点，创业板指-1.28%报3380.42点，科创50-1.61%报1635.39点。较上一时段（10:31），各指数跌幅变化均不足0.25pp，</w:t>
      </w:r>
      <w:r>
        <w:rPr>
          <w:rFonts w:ascii="微软雅黑" w:hAnsi="微软雅黑" w:eastAsia="微软雅黑"/>
          <w:b/>
          <w:color w:val="D29922"/>
          <w:sz w:val="22"/>
        </w:rPr>
        <w:t>横盘延续</w:t>
      </w:r>
      <w:r>
        <w:rPr>
          <w:rFonts w:ascii="微软雅黑" w:hAnsi="微软雅黑" w:eastAsia="微软雅黑"/>
          <w:color w:val="1A1A1A"/>
          <w:sz w:val="22"/>
        </w:rPr>
        <w:t>，但成交额从约9960亿骤增至13110亿（+31.5%），量能异常放大而指数几乎未动，属于典型的</w:t>
      </w:r>
      <w:r>
        <w:rPr>
          <w:rFonts w:ascii="微软雅黑" w:hAnsi="微软雅黑" w:eastAsia="微软雅黑"/>
          <w:b/>
          <w:color w:val="D29922"/>
          <w:sz w:val="22"/>
        </w:rPr>
        <w:t>动能衰竭信号——反弹无力、下跌有承接，但承接力集中于个股而非指数权重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：上涨580家 vs 下跌408家，涨跌比1.42:1，涨幅中位数约+0.5%以内，涨停17家、跌停3家。指数普跌而个股涨多跌少，</w:t>
      </w:r>
      <w:r>
        <w:rPr>
          <w:rFonts w:ascii="微软雅黑" w:hAnsi="微软雅黑" w:eastAsia="微软雅黑"/>
          <w:b/>
          <w:color w:val="D29922"/>
          <w:sz w:val="22"/>
        </w:rPr>
        <w:t>权重拖累、题材活跃</w:t>
      </w:r>
      <w:r>
        <w:rPr>
          <w:rFonts w:ascii="微软雅黑" w:hAnsi="微软雅黑" w:eastAsia="微软雅黑"/>
          <w:color w:val="1A1A1A"/>
          <w:sz w:val="22"/>
        </w:rPr>
        <w:t>，市场宽度与指数走势背离。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：半日13110亿，较上一时段+31.5%，较昨日同期需观察，但量能水平已接近前期高位区间的半日水平。放量发生在指数下跌段，</w:t>
      </w:r>
      <w:r>
        <w:rPr>
          <w:rFonts w:ascii="微软雅黑" w:hAnsi="微软雅黑" w:eastAsia="微软雅黑"/>
          <w:b/>
          <w:color w:val="D29922"/>
          <w:sz w:val="22"/>
        </w:rPr>
        <w:t>有抛压也有承接，但承接不改变指数重心下移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外资监测（二维框架）</w:t>
      </w:r>
      <w:r>
        <w:rPr>
          <w:rFonts w:ascii="微软雅黑" w:hAnsi="微软雅黑" w:eastAsia="微软雅黑"/>
          <w:color w:val="1A1A1A"/>
          <w:sz w:val="22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：港股通净买入+35.1亿（较上一时段+3.9亿，</w:t>
      </w:r>
      <w:r>
        <w:rPr>
          <w:rFonts w:ascii="微软雅黑" w:hAnsi="微软雅黑" w:eastAsia="微软雅黑"/>
          <w:b/>
          <w:color w:val="D29922"/>
          <w:sz w:val="22"/>
        </w:rPr>
        <w:t>边际加速</w:t>
      </w:r>
      <w:r>
        <w:rPr>
          <w:rFonts w:ascii="微软雅黑" w:hAnsi="微软雅黑" w:eastAsia="微软雅黑"/>
          <w:color w:val="1A1A1A"/>
          <w:sz w:val="22"/>
        </w:rPr>
        <w:t>），其中沪市港股通+27.7亿。南向净买入&gt;30亿属"大幅净买入"，按框架为</w:t>
      </w:r>
      <w:r>
        <w:rPr>
          <w:rFonts w:ascii="微软雅黑" w:hAnsi="微软雅黑" w:eastAsia="微软雅黑"/>
          <w:b/>
          <w:color w:val="D29922"/>
          <w:sz w:val="22"/>
        </w:rPr>
        <w:t>A股情绪偏弱信号</w:t>
      </w:r>
      <w:r>
        <w:rPr>
          <w:rFonts w:ascii="微软雅黑" w:hAnsi="微软雅黑" w:eastAsia="微软雅黑"/>
          <w:color w:val="1A1A1A"/>
          <w:sz w:val="22"/>
        </w:rPr>
        <w:t>——内资选择南下抄底港股而非留守A股，且</w:t>
      </w:r>
      <w:r>
        <w:rPr>
          <w:rFonts w:ascii="微软雅黑" w:hAnsi="微软雅黑" w:eastAsia="微软雅黑"/>
          <w:b/>
          <w:color w:val="D29922"/>
          <w:sz w:val="22"/>
        </w:rPr>
        <w:t>边际上仍在加码南下</w:t>
      </w:r>
      <w:r>
        <w:rPr>
          <w:rFonts w:ascii="微软雅黑" w:hAnsi="微软雅黑" w:eastAsia="微软雅黑"/>
          <w:color w:val="1A1A1A"/>
          <w:sz w:val="22"/>
        </w:rPr>
        <w:t>，情绪未见回流迹象。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：恒生指数-0.64%、恒生科技-0.93%、离岸人民币升值0.13%（USD/CNH跌至6.7217）。</w:t>
      </w:r>
      <w:r>
        <w:rPr>
          <w:rFonts w:ascii="微软雅黑" w:hAnsi="微软雅黑" w:eastAsia="微软雅黑"/>
          <w:b/>
          <w:color w:val="D29922"/>
          <w:sz w:val="22"/>
        </w:rPr>
        <w:t>港股与A股同步走弱，人民币小幅升值形成弱对冲</w:t>
      </w:r>
      <w:r>
        <w:rPr>
          <w:rFonts w:ascii="微软雅黑" w:hAnsi="微软雅黑" w:eastAsia="微软雅黑"/>
          <w:color w:val="1A1A1A"/>
          <w:sz w:val="22"/>
        </w:rPr>
        <w:t>，外部共识评分-2.7，方向偏空但置信度"分歧"。南向大幅净买入+外部偏空=内外资均偏向撤离/回避A股，</w:t>
      </w:r>
      <w:r>
        <w:rPr>
          <w:rFonts w:ascii="微软雅黑" w:hAnsi="微软雅黑" w:eastAsia="微软雅黑"/>
          <w:b/>
          <w:color w:val="D29922"/>
          <w:sz w:val="22"/>
        </w:rPr>
        <w:t>偏空信号共振</w:t>
      </w:r>
      <w:r>
        <w:rPr>
          <w:rFonts w:ascii="微软雅黑" w:hAnsi="微软雅黑" w:eastAsia="微软雅黑"/>
          <w:color w:val="1A1A1A"/>
          <w:sz w:val="22"/>
        </w:rPr>
        <w:t>，叠加放量下跌，需高度警惕下午延续弱势。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</w:t>
      </w:r>
      <w:r>
        <w:rPr>
          <w:rFonts w:ascii="微软雅黑" w:hAnsi="微软雅黑" w:eastAsia="微软雅黑"/>
          <w:color w:val="1A1A1A"/>
          <w:sz w:val="22"/>
        </w:rPr>
        <w:t>：陶瓷行业+1.39%居首，但绝对涨幅微弱（&lt;1.5%），属弱势市场中的补涨/轮动，</w:t>
      </w:r>
      <w:r>
        <w:rPr>
          <w:rFonts w:ascii="微软雅黑" w:hAnsi="微软雅黑" w:eastAsia="微软雅黑"/>
          <w:b/>
          <w:color w:val="D29922"/>
          <w:sz w:val="22"/>
        </w:rPr>
        <w:t>无强驱动力</w:t>
      </w:r>
      <w:r>
        <w:rPr>
          <w:rFonts w:ascii="微软雅黑" w:hAnsi="微软雅黑" w:eastAsia="微软雅黑"/>
          <w:color w:val="1A1A1A"/>
          <w:sz w:val="22"/>
        </w:rPr>
        <w:t>；家具+0.22%、传媒娱乐+0.18%、家电+0.11%、纺织机械+0.09%，涨幅均不足0.3%，</w:t>
      </w:r>
      <w:r>
        <w:rPr>
          <w:rFonts w:ascii="微软雅黑" w:hAnsi="微软雅黑" w:eastAsia="微软雅黑"/>
          <w:b/>
          <w:color w:val="D29922"/>
          <w:sz w:val="22"/>
        </w:rPr>
        <w:t>热点分散且强度极低，缺乏主线</w:t>
      </w:r>
      <w:r>
        <w:rPr>
          <w:rFonts w:ascii="微软雅黑" w:hAnsi="微软雅黑" w:eastAsia="微软雅黑"/>
          <w:color w:val="1A1A1A"/>
          <w:sz w:val="22"/>
        </w:rPr>
        <w:t>。涨停股中传媒娱乐类（芒果超媒+20%、上海电影+10.02%、中广天择+10.02%、博纳影业+10%）、装修建材类（金螳螂+10%、亚厦股份+10%、名雕股份+9.97%）较为集中，属事件/题材驱动，持续性存疑。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领跌</w:t>
      </w:r>
      <w:r>
        <w:rPr>
          <w:rFonts w:ascii="微软雅黑" w:hAnsi="微软雅黑" w:eastAsia="微软雅黑"/>
          <w:color w:val="1A1A1A"/>
          <w:sz w:val="22"/>
        </w:rPr>
        <w:t>：有色金属-0.64%领跌，生物制药-0.32%、电器行业-0.26%、发电设备-0.24%、电子器件-0.24%随跌。医药股跌停潮明显（键凯科技-18.65%、万邦医药-11.79%、透景生命-11.31%、誉衡药业-10.08%、汉森制药-9.98%、百花医药-9.97%），</w:t>
      </w:r>
      <w:r>
        <w:rPr>
          <w:rFonts w:ascii="微软雅黑" w:hAnsi="微软雅黑" w:eastAsia="微软雅黑"/>
          <w:b/>
          <w:color w:val="D29922"/>
          <w:sz w:val="22"/>
        </w:rPr>
        <w:t>医药板块恐慌性抛售，属高位股补跌与业绩/政策担忧共振</w:t>
      </w:r>
      <w:r>
        <w:rPr>
          <w:rFonts w:ascii="微软雅黑" w:hAnsi="微软雅黑" w:eastAsia="微软雅黑"/>
          <w:color w:val="1A1A1A"/>
          <w:sz w:val="22"/>
        </w:rPr>
        <w:t>，是今日杀伤力最大的方向。有色（白银有色-9.96%、金浦钛业-10.04%）受黄金/铜价回调拖累。</w:t>
      </w:r>
      <w:r>
        <w:rPr>
          <w:rFonts w:ascii="微软雅黑" w:hAnsi="微软雅黑" w:eastAsia="微软雅黑"/>
          <w:b/>
          <w:color w:val="D29922"/>
          <w:sz w:val="22"/>
        </w:rPr>
        <w:t>板块轮动节奏加快</w:t>
      </w:r>
      <w:r>
        <w:rPr>
          <w:rFonts w:ascii="微软雅黑" w:hAnsi="微软雅黑" w:eastAsia="微软雅黑"/>
          <w:color w:val="1A1A1A"/>
          <w:sz w:val="22"/>
        </w:rPr>
        <w:t>：昨日领涨方向今日领跌（医药），今日领涨板块强度不足1.5%，</w:t>
      </w:r>
      <w:r>
        <w:rPr>
          <w:rFonts w:ascii="微软雅黑" w:hAnsi="微软雅黑" w:eastAsia="微软雅黑"/>
          <w:b/>
          <w:color w:val="D29922"/>
          <w:sz w:val="22"/>
        </w:rPr>
        <w:t>快速轮动+主线缺失=市场风险偏好骤降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以上证指数为基准（3944点，较上一时段-0.01pp，10:31约3950点附近横盘）：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均线（MA）</w:t>
      </w:r>
      <w:r>
        <w:rPr>
          <w:rFonts w:ascii="微软雅黑" w:hAnsi="微软雅黑" w:eastAsia="微软雅黑"/>
          <w:color w:val="1A1A1A"/>
          <w:sz w:val="22"/>
        </w:rPr>
        <w:t>：价格仍位于短中期均线上方，但</w:t>
      </w:r>
      <w:r>
        <w:rPr>
          <w:rFonts w:ascii="微软雅黑" w:hAnsi="微软雅黑" w:eastAsia="微软雅黑"/>
          <w:b/>
          <w:color w:val="D29922"/>
          <w:sz w:val="22"/>
        </w:rPr>
        <w:t>远离5日均线的风险在累积</w:t>
      </w:r>
      <w:r>
        <w:rPr>
          <w:rFonts w:ascii="微软雅黑" w:hAnsi="微软雅黑" w:eastAsia="微软雅黑"/>
          <w:color w:val="1A1A1A"/>
          <w:sz w:val="22"/>
        </w:rPr>
        <w:t>。此前连续上攻后高位横盘，指数在3940-3950区间换手，均线尚未走坏，但未能向上突破。若下午收盘跌破3930一线，短期均线支撑将转为压力。较上一时段，</w:t>
      </w:r>
      <w:r>
        <w:rPr>
          <w:rFonts w:ascii="微软雅黑" w:hAnsi="微软雅黑" w:eastAsia="微软雅黑"/>
          <w:b/>
          <w:color w:val="D29922"/>
          <w:sz w:val="22"/>
        </w:rPr>
        <w:t>横盘时间拉长，方向选择临近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MACD</w:t>
      </w:r>
      <w:r>
        <w:rPr>
          <w:rFonts w:ascii="微软雅黑" w:hAnsi="微软雅黑" w:eastAsia="微软雅黑"/>
          <w:color w:val="1A1A1A"/>
          <w:sz w:val="22"/>
        </w:rPr>
        <w:t>：日线级别红柱缩窄趋势延续，30分钟/60分钟级别</w:t>
      </w:r>
      <w:r>
        <w:rPr>
          <w:rFonts w:ascii="微软雅黑" w:hAnsi="微软雅黑" w:eastAsia="微软雅黑"/>
          <w:b/>
          <w:color w:val="D29922"/>
          <w:sz w:val="22"/>
        </w:rPr>
        <w:t>高位死叉迹象初现</w:t>
      </w:r>
      <w:r>
        <w:rPr>
          <w:rFonts w:ascii="微软雅黑" w:hAnsi="微软雅黑" w:eastAsia="微软雅黑"/>
          <w:color w:val="1A1A1A"/>
          <w:sz w:val="22"/>
        </w:rPr>
        <w:t>，但尚未完全确认。较上一时段，动能从"冲高回落"转向"横盘钝化"，</w:t>
      </w:r>
      <w:r>
        <w:rPr>
          <w:rFonts w:ascii="微软雅黑" w:hAnsi="微软雅黑" w:eastAsia="微软雅黑"/>
          <w:b/>
          <w:color w:val="D29922"/>
          <w:sz w:val="22"/>
        </w:rPr>
        <w:t>动能衰竭特征明显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RSI</w:t>
      </w:r>
      <w:r>
        <w:rPr>
          <w:rFonts w:ascii="微软雅黑" w:hAnsi="微软雅黑" w:eastAsia="微软雅黑"/>
          <w:color w:val="1A1A1A"/>
          <w:sz w:val="22"/>
        </w:rPr>
        <w:t>：日线RSI（6日）预计在60-70区间回落，60分钟RSI可能在50-55附近，</w:t>
      </w:r>
      <w:r>
        <w:rPr>
          <w:rFonts w:ascii="微软雅黑" w:hAnsi="微软雅黑" w:eastAsia="微软雅黑"/>
          <w:b/>
          <w:color w:val="D29922"/>
          <w:sz w:val="22"/>
        </w:rPr>
        <w:t>从超买向中性回归</w:t>
      </w:r>
      <w:r>
        <w:rPr>
          <w:rFonts w:ascii="微软雅黑" w:hAnsi="微软雅黑" w:eastAsia="微软雅黑"/>
          <w:color w:val="1A1A1A"/>
          <w:sz w:val="22"/>
        </w:rPr>
        <w:t>。较上一时段，预警信号从"超买"转向"中性偏弱"，上方压力增强。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KDJ</w:t>
      </w:r>
      <w:r>
        <w:rPr>
          <w:rFonts w:ascii="微软雅黑" w:hAnsi="微软雅黑" w:eastAsia="微软雅黑"/>
          <w:color w:val="1A1A1A"/>
          <w:sz w:val="22"/>
        </w:rPr>
        <w:t>：高位钝化后J值拐头向下，</w:t>
      </w:r>
      <w:r>
        <w:rPr>
          <w:rFonts w:ascii="微软雅黑" w:hAnsi="微软雅黑" w:eastAsia="微软雅黑"/>
          <w:b/>
          <w:color w:val="D29922"/>
          <w:sz w:val="22"/>
        </w:rPr>
        <w:t>短线死叉概率上升</w:t>
      </w:r>
      <w:r>
        <w:rPr>
          <w:rFonts w:ascii="微软雅黑" w:hAnsi="微软雅黑" w:eastAsia="微软雅黑"/>
          <w:color w:val="1A1A1A"/>
          <w:sz w:val="22"/>
        </w:rPr>
        <w:t>。30分钟KDJ若在午后不能重新金叉，将带动小时级别走弱。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技术综合判断</w:t>
      </w:r>
      <w:r>
        <w:rPr>
          <w:rFonts w:ascii="微软雅黑" w:hAnsi="微软雅黑" w:eastAsia="微软雅黑"/>
          <w:color w:val="1A1A1A"/>
          <w:sz w:val="22"/>
        </w:rPr>
        <w:t>：横盘不破不立，量能放大而指数不动，</w:t>
      </w:r>
      <w:r>
        <w:rPr>
          <w:rFonts w:ascii="微软雅黑" w:hAnsi="微软雅黑" w:eastAsia="微软雅黑"/>
          <w:b/>
          <w:color w:val="D29922"/>
          <w:sz w:val="22"/>
        </w:rPr>
        <w:t>属于"该涨不涨"的动能衰竭形态</w:t>
      </w:r>
      <w:r>
        <w:rPr>
          <w:rFonts w:ascii="微软雅黑" w:hAnsi="微软雅黑" w:eastAsia="微软雅黑"/>
          <w:color w:val="1A1A1A"/>
          <w:sz w:val="22"/>
        </w:rPr>
        <w:t>。下午若无法放量收复3960点，则短期调整压力加大；若午后缩量回落、不破3920-3930，则为良性回踩，但仍需时间消化。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：显著的量价背离。全市场半日成交13110亿（较上一时段+31.5%），指数全线收跌且跌幅极小，</w:t>
      </w:r>
      <w:r>
        <w:rPr>
          <w:rFonts w:ascii="微软雅黑" w:hAnsi="微软雅黑" w:eastAsia="微软雅黑"/>
          <w:b/>
          <w:color w:val="D29922"/>
          <w:sz w:val="22"/>
        </w:rPr>
        <w:t>高位放量滞跌，是筹码交换加速的典型特征</w:t>
      </w:r>
      <w:r>
        <w:rPr>
          <w:rFonts w:ascii="微软雅黑" w:hAnsi="微软雅黑" w:eastAsia="微软雅黑"/>
          <w:color w:val="1A1A1A"/>
          <w:sz w:val="22"/>
        </w:rPr>
        <w:t>。这种形态出现在连续上涨后的高位，通常意味着</w:t>
      </w:r>
      <w:r>
        <w:rPr>
          <w:rFonts w:ascii="微软雅黑" w:hAnsi="微软雅黑" w:eastAsia="微软雅黑"/>
          <w:b/>
          <w:color w:val="D29922"/>
          <w:sz w:val="22"/>
        </w:rPr>
        <w:t>一部分资金坚决离场，另一部分资金仍在承接，但后续一旦承接衰竭，下跌速度会加快</w:t>
      </w:r>
      <w:r>
        <w:rPr>
          <w:rFonts w:ascii="微软雅黑" w:hAnsi="微软雅黑" w:eastAsia="微软雅黑"/>
          <w:color w:val="1A1A1A"/>
          <w:sz w:val="22"/>
        </w:rPr>
        <w:t>。核心关注：</w:t>
      </w:r>
      <w:r>
        <w:rPr>
          <w:rFonts w:ascii="微软雅黑" w:hAnsi="微软雅黑" w:eastAsia="微软雅黑"/>
          <w:b/>
          <w:color w:val="D29922"/>
          <w:sz w:val="22"/>
        </w:rPr>
        <w:t>下午第一小时若不能缩量企稳，放量下跌可能启动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：内部资金流（新浪样本，8/28数据滞后一天）显示大单净流入23.6亿、流入家数23/30，但该数据为8月28日收盘值，</w:t>
      </w:r>
      <w:r>
        <w:rPr>
          <w:rFonts w:ascii="微软雅黑" w:hAnsi="微软雅黑" w:eastAsia="微软雅黑"/>
          <w:b/>
          <w:color w:val="D29922"/>
          <w:sz w:val="22"/>
        </w:rPr>
        <w:t>对今日午盘无参考价值</w:t>
      </w:r>
      <w:r>
        <w:rPr>
          <w:rFonts w:ascii="微软雅黑" w:hAnsi="微软雅黑" w:eastAsia="微软雅黑"/>
          <w:color w:val="1A1A1A"/>
          <w:sz w:val="22"/>
        </w:rPr>
        <w:t>，不纳入今日判断。实时维度看，南向加速净买入35.1亿是更可信的外资情绪指标，</w:t>
      </w:r>
      <w:r>
        <w:rPr>
          <w:rFonts w:ascii="微软雅黑" w:hAnsi="微软雅黑" w:eastAsia="微软雅黑"/>
          <w:b/>
          <w:color w:val="D29922"/>
          <w:sz w:val="22"/>
        </w:rPr>
        <w:t>内资南下持续加码=对A股信心不足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：涨跌比1.42:1看似健康，但指数却普跌，</w:t>
      </w:r>
      <w:r>
        <w:rPr>
          <w:rFonts w:ascii="微软雅黑" w:hAnsi="微软雅黑" w:eastAsia="微软雅黑"/>
          <w:b/>
          <w:color w:val="D29922"/>
          <w:sz w:val="22"/>
        </w:rPr>
        <w:t>宽度与权重指数背离，典型的结构性出货</w:t>
      </w:r>
      <w:r>
        <w:rPr>
          <w:rFonts w:ascii="微软雅黑" w:hAnsi="微软雅黑" w:eastAsia="微软雅黑"/>
          <w:color w:val="1A1A1A"/>
          <w:sz w:val="22"/>
        </w:rPr>
        <w:t>——大盘权重（沪深300中成分股）被抛售，资金流向中小题材（涨停股多为北交所/创业板小票），说明</w:t>
      </w:r>
      <w:r>
        <w:rPr>
          <w:rFonts w:ascii="微软雅黑" w:hAnsi="微软雅黑" w:eastAsia="微软雅黑"/>
          <w:b/>
          <w:color w:val="D29922"/>
          <w:sz w:val="22"/>
        </w:rPr>
        <w:t>大资金撤退、游资散户接盘</w:t>
      </w:r>
      <w:r>
        <w:rPr>
          <w:rFonts w:ascii="微软雅黑" w:hAnsi="微软雅黑" w:eastAsia="微软雅黑"/>
          <w:color w:val="1A1A1A"/>
          <w:sz w:val="22"/>
        </w:rPr>
        <w:t>，风险结构不健康。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涨跌停结构</w:t>
      </w:r>
      <w:r>
        <w:rPr>
          <w:rFonts w:ascii="微软雅黑" w:hAnsi="微软雅黑" w:eastAsia="微软雅黑"/>
          <w:color w:val="1A1A1A"/>
          <w:sz w:val="22"/>
        </w:rPr>
        <w:t>：涨停17家 vs 跌停3家，表面上多头占优，但</w:t>
      </w:r>
      <w:r>
        <w:rPr>
          <w:rFonts w:ascii="微软雅黑" w:hAnsi="微软雅黑" w:eastAsia="微软雅黑"/>
          <w:b/>
          <w:color w:val="D29922"/>
          <w:sz w:val="22"/>
        </w:rPr>
        <w:t>跌停股中多只医药股、有色股出现恐慌性抛售</w:t>
      </w:r>
      <w:r>
        <w:rPr>
          <w:rFonts w:ascii="微软雅黑" w:hAnsi="微软雅黑" w:eastAsia="微软雅黑"/>
          <w:color w:val="1A1A1A"/>
          <w:sz w:val="22"/>
        </w:rPr>
        <w:t>；涨停股则多为小市值题材股（北交所920xxx系列、创业板小票），</w:t>
      </w:r>
      <w:r>
        <w:rPr>
          <w:rFonts w:ascii="微软雅黑" w:hAnsi="微软雅黑" w:eastAsia="微软雅黑"/>
          <w:b/>
          <w:color w:val="D29922"/>
          <w:sz w:val="22"/>
        </w:rPr>
        <w:t>涨停质量不高，缺乏板块合力</w:t>
      </w:r>
      <w:r>
        <w:rPr>
          <w:rFonts w:ascii="微软雅黑" w:hAnsi="微软雅黑" w:eastAsia="微软雅黑"/>
          <w:color w:val="1A1A1A"/>
          <w:sz w:val="22"/>
        </w:rPr>
        <w:t>。这种"跌停有主线（医药）、涨停无主线"特征，是</w:t>
      </w:r>
      <w:r>
        <w:rPr>
          <w:rFonts w:ascii="微软雅黑" w:hAnsi="微软雅黑" w:eastAsia="微软雅黑"/>
          <w:b/>
          <w:color w:val="D29922"/>
          <w:sz w:val="22"/>
        </w:rPr>
        <w:t>趋势转弱的信号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当前宏观面偏弱，对A股形成压制：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</w:t>
      </w:r>
      <w:r>
        <w:rPr>
          <w:rFonts w:ascii="微软雅黑" w:hAnsi="微软雅黑" w:eastAsia="微软雅黑"/>
          <w:color w:val="1A1A1A"/>
          <w:sz w:val="22"/>
        </w:rPr>
        <w:t>（2026年7月）同比+0.5%，较前值1.0%显著回落，</w:t>
      </w:r>
      <w:r>
        <w:rPr>
          <w:rFonts w:ascii="微软雅黑" w:hAnsi="微软雅黑" w:eastAsia="微软雅黑"/>
          <w:b/>
          <w:color w:val="D29922"/>
          <w:sz w:val="22"/>
        </w:rPr>
        <w:t>通缩压力上升</w:t>
      </w:r>
      <w:r>
        <w:rPr>
          <w:rFonts w:ascii="微软雅黑" w:hAnsi="微软雅黑" w:eastAsia="微软雅黑"/>
          <w:color w:val="1A1A1A"/>
          <w:sz w:val="22"/>
        </w:rPr>
        <w:t>。核心CPI仅+0.9%，汽油降价10.7%是主拖累，服务价格受暑期出行带动小幅回升0.4%，但整体需求动能不足。CPI走低压制消费板块盈利预期，也加大政策宽松预期。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PPI</w:t>
      </w:r>
      <w:r>
        <w:rPr>
          <w:rFonts w:ascii="微软雅黑" w:hAnsi="微软雅黑" w:eastAsia="微软雅黑"/>
          <w:color w:val="1A1A1A"/>
          <w:sz w:val="22"/>
        </w:rPr>
        <w:t>（2026年7月）同比+3.5%，较前值4.1%回落，</w:t>
      </w:r>
      <w:r>
        <w:rPr>
          <w:rFonts w:ascii="微软雅黑" w:hAnsi="微软雅黑" w:eastAsia="微软雅黑"/>
          <w:b/>
          <w:color w:val="D29922"/>
          <w:sz w:val="22"/>
        </w:rPr>
        <w:t>国际油价下跌+高温暴雨影响施工</w:t>
      </w:r>
      <w:r>
        <w:rPr>
          <w:rFonts w:ascii="微软雅黑" w:hAnsi="微软雅黑" w:eastAsia="微软雅黑"/>
          <w:color w:val="1A1A1A"/>
          <w:sz w:val="22"/>
        </w:rPr>
        <w:t>，输入性因素拖累约-0.65pp。PPI回落对上游周期股（有色、化工）盈利形成压力，今日有色金属领跌与此呼应。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</w:t>
      </w:r>
      <w:r>
        <w:rPr>
          <w:rFonts w:ascii="微软雅黑" w:hAnsi="微软雅黑" w:eastAsia="微软雅黑"/>
          <w:color w:val="1A1A1A"/>
          <w:sz w:val="22"/>
        </w:rPr>
        <w:t>（2026年7月）制造业49.2、服务业49.3，</w:t>
      </w:r>
      <w:r>
        <w:rPr>
          <w:rFonts w:ascii="微软雅黑" w:hAnsi="微软雅黑" w:eastAsia="微软雅黑"/>
          <w:b/>
          <w:color w:val="D29922"/>
          <w:sz w:val="22"/>
        </w:rPr>
        <w:t>双双跌破荣枯线</w:t>
      </w:r>
      <w:r>
        <w:rPr>
          <w:rFonts w:ascii="微软雅黑" w:hAnsi="微软雅黑" w:eastAsia="微软雅黑"/>
          <w:color w:val="1A1A1A"/>
          <w:sz w:val="22"/>
        </w:rPr>
        <w:t>，5个月最低，高技术制造业（53.3%）逆势扩张但权重有限。经济动能走弱，A股盈利预期下修风险加大。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</w:t>
      </w:r>
      <w:r>
        <w:rPr>
          <w:rFonts w:ascii="微软雅黑" w:hAnsi="微软雅黑" w:eastAsia="微软雅黑"/>
          <w:color w:val="1A1A1A"/>
          <w:sz w:val="22"/>
        </w:rPr>
        <w:t>：M2同比+8.0%（6月），LPR连续14个月不变（1年期3.0%、5年期3.5%），7天逆回购利率1.4%。</w:t>
      </w:r>
      <w:r>
        <w:rPr>
          <w:rFonts w:ascii="微软雅黑" w:hAnsi="微软雅黑" w:eastAsia="微软雅黑"/>
          <w:b/>
          <w:color w:val="D29922"/>
          <w:sz w:val="22"/>
        </w:rPr>
        <w:t>流动性环境宽松但实体融资需求不足</w:t>
      </w:r>
      <w:r>
        <w:rPr>
          <w:rFonts w:ascii="微软雅黑" w:hAnsi="微软雅黑" w:eastAsia="微软雅黑"/>
          <w:color w:val="1A1A1A"/>
          <w:sz w:val="22"/>
        </w:rPr>
        <w:t>，社融同比少增8606亿元，宽货币向宽信用传导不畅。这对股市而言，</w:t>
      </w:r>
      <w:r>
        <w:rPr>
          <w:rFonts w:ascii="微软雅黑" w:hAnsi="微软雅黑" w:eastAsia="微软雅黑"/>
          <w:b/>
          <w:color w:val="D29922"/>
          <w:sz w:val="22"/>
        </w:rPr>
        <w:t>剩余流动性仍充裕，但缺乏盈利驱动，更多依赖估值和情绪</w:t>
      </w:r>
      <w:r>
        <w:rPr>
          <w:rFonts w:ascii="微软雅黑" w:hAnsi="微软雅黑" w:eastAsia="微软雅黑"/>
          <w:color w:val="1A1A1A"/>
          <w:sz w:val="22"/>
        </w:rPr>
        <w:t>，一旦情绪转弱，调整速度会很快。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政策面</w:t>
      </w:r>
      <w:r>
        <w:rPr>
          <w:rFonts w:ascii="微软雅黑" w:hAnsi="微软雅黑" w:eastAsia="微软雅黑"/>
          <w:color w:val="1A1A1A"/>
          <w:sz w:val="22"/>
        </w:rPr>
        <w:t>：当前为7月底至8月数据真空期，政策刺激预期暂无明显新增催化，市场处于宏观数据弱+政策待观察的</w:t>
      </w:r>
      <w:r>
        <w:rPr>
          <w:rFonts w:ascii="微软雅黑" w:hAnsi="微软雅黑" w:eastAsia="微软雅黑"/>
          <w:b/>
          <w:color w:val="D29922"/>
          <w:sz w:val="22"/>
        </w:rPr>
        <w:t>真空期</w:t>
      </w:r>
      <w:r>
        <w:rPr>
          <w:rFonts w:ascii="微软雅黑" w:hAnsi="微软雅黑" w:eastAsia="微软雅黑"/>
          <w:color w:val="1A1A1A"/>
          <w:sz w:val="22"/>
        </w:rPr>
        <w:t>，风险偏好易受外围和情绪主导。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宏观结论</w:t>
      </w:r>
      <w:r>
        <w:rPr>
          <w:rFonts w:ascii="微软雅黑" w:hAnsi="微软雅黑" w:eastAsia="微软雅黑"/>
          <w:color w:val="1A1A1A"/>
          <w:sz w:val="22"/>
        </w:rPr>
        <w:t>：经济基本面偏弱（CPI/PPI/PMI均回落）+流动性宽松但传导不畅，市场缺乏盈利驱动，</w:t>
      </w:r>
      <w:r>
        <w:rPr>
          <w:rFonts w:ascii="微软雅黑" w:hAnsi="微软雅黑" w:eastAsia="微软雅黑"/>
          <w:b/>
          <w:color w:val="D29922"/>
          <w:sz w:val="22"/>
        </w:rPr>
        <w:t>与当前放量滞跌的技术信号相互印证</w:t>
      </w:r>
      <w:r>
        <w:rPr>
          <w:rFonts w:ascii="微软雅黑" w:hAnsi="微软雅黑" w:eastAsia="微软雅黑"/>
          <w:color w:val="1A1A1A"/>
          <w:sz w:val="22"/>
        </w:rPr>
        <w:t>，午后若政策面无突发利好，调整压力将继续释放。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高位放量滞跌信号</w:t>
      </w:r>
      <w:r>
        <w:rPr>
          <w:rFonts w:ascii="微软雅黑" w:hAnsi="微软雅黑" w:eastAsia="微软雅黑"/>
          <w:color w:val="1A1A1A"/>
          <w:sz w:val="22"/>
        </w:rPr>
        <w:t>：成交额+31.5%而指数几近不动，是典型的动能衰竭形态，</w:t>
      </w:r>
      <w:r>
        <w:rPr>
          <w:rFonts w:ascii="微软雅黑" w:hAnsi="微软雅黑" w:eastAsia="微软雅黑"/>
          <w:b/>
          <w:color w:val="D29922"/>
          <w:sz w:val="22"/>
        </w:rPr>
        <w:t>若午后第1小时量能萎缩且指数不能收复3960，则放量下跌概率大增</w:t>
      </w:r>
      <w:r>
        <w:rPr>
          <w:rFonts w:ascii="微软雅黑" w:hAnsi="微软雅黑" w:eastAsia="微软雅黑"/>
          <w:color w:val="1A1A1A"/>
          <w:sz w:val="22"/>
        </w:rPr>
        <w:t>，需防范尾盘跳水。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南向资金加速净买入</w:t>
      </w:r>
      <w:r>
        <w:rPr>
          <w:rFonts w:ascii="微软雅黑" w:hAnsi="微软雅黑" w:eastAsia="微软雅黑"/>
          <w:color w:val="1A1A1A"/>
          <w:sz w:val="22"/>
        </w:rPr>
        <w:t>：+35.1亿的南向净买入（较上一时段+3.9亿边际加速）是A股情绪的明确反向警告，</w:t>
      </w:r>
      <w:r>
        <w:rPr>
          <w:rFonts w:ascii="微软雅黑" w:hAnsi="微软雅黑" w:eastAsia="微软雅黑"/>
          <w:b/>
          <w:color w:val="D29922"/>
          <w:sz w:val="22"/>
        </w:rPr>
        <w:t>内资持续南下抄底港股=对A股短期信心不足</w:t>
      </w:r>
      <w:r>
        <w:rPr>
          <w:rFonts w:ascii="微软雅黑" w:hAnsi="微软雅黑" w:eastAsia="微软雅黑"/>
          <w:color w:val="1A1A1A"/>
          <w:sz w:val="22"/>
        </w:rPr>
        <w:t>，且当前港股同样走弱，空方信号共振。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医药板块恐慌扩散</w:t>
      </w:r>
      <w:r>
        <w:rPr>
          <w:rFonts w:ascii="微软雅黑" w:hAnsi="微软雅黑" w:eastAsia="微软雅黑"/>
          <w:color w:val="1A1A1A"/>
          <w:sz w:val="22"/>
        </w:rPr>
        <w:t>：多只医药股跌停（键凯-18.65%、万邦-11.79%、透景-11.31%），若恐慌情绪从医药扩散至其他高位板块（半导体、AI应用），可能引发系统性调整。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指数与个股背离加速</w:t>
      </w:r>
      <w:r>
        <w:rPr>
          <w:rFonts w:ascii="微软雅黑" w:hAnsi="微软雅黑" w:eastAsia="微软雅黑"/>
          <w:color w:val="1A1A1A"/>
          <w:sz w:val="22"/>
        </w:rPr>
        <w:t>：涨跌比1.42:1但指数普跌，权重被持续抛售而小票活跃，</w:t>
      </w:r>
      <w:r>
        <w:rPr>
          <w:rFonts w:ascii="微软雅黑" w:hAnsi="微软雅黑" w:eastAsia="微软雅黑"/>
          <w:b/>
          <w:color w:val="D29922"/>
          <w:sz w:val="22"/>
        </w:rPr>
        <w:t>这种结构不可持续</w:t>
      </w:r>
      <w:r>
        <w:rPr>
          <w:rFonts w:ascii="微软雅黑" w:hAnsi="微软雅黑" w:eastAsia="微软雅黑"/>
          <w:color w:val="1A1A1A"/>
          <w:sz w:val="22"/>
        </w:rPr>
        <w:t>，若权重继续下移，小票补跌将是下一阶段风险。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外部市场联动</w:t>
      </w:r>
      <w:r>
        <w:rPr>
          <w:rFonts w:ascii="微软雅黑" w:hAnsi="微软雅黑" w:eastAsia="微软雅黑"/>
          <w:color w:val="1A1A1A"/>
          <w:sz w:val="22"/>
        </w:rPr>
        <w:t>：恒生科技-0.93%、恒指-0.64%，美股期货无明确方向，若午后港股跌幅扩大，A股科技股将承压。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午盘总结一句话</w:t>
      </w:r>
      <w:r>
        <w:rPr>
          <w:rFonts w:ascii="微软雅黑" w:hAnsi="微软雅黑" w:eastAsia="微软雅黑"/>
          <w:color w:val="1A1A1A"/>
          <w:sz w:val="22"/>
        </w:rPr>
        <w:t>：放量滞跌+南向加速流出A股情绪+医药恐慌，</w:t>
      </w:r>
      <w:r>
        <w:rPr>
          <w:rFonts w:ascii="微软雅黑" w:hAnsi="微软雅黑" w:eastAsia="微软雅黑"/>
          <w:b/>
          <w:color w:val="D29922"/>
          <w:sz w:val="22"/>
        </w:rPr>
        <w:t>动能衰竭信号正从"预警"走向"确认"，下午防守为主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