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早盘分析</w:t>
      </w:r>
    </w:p>
    <w:p>
      <w:pPr>
        <w:jc w:val="center"/>
      </w:pPr>
      <w:r>
        <w:rPr>
          <w:color w:val="8B949E"/>
          <w:sz w:val="20"/>
        </w:rPr>
        <w:t>2026-08-03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3813.98</w:t>
            </w:r>
          </w:p>
        </w:tc>
        <w:tc>
          <w:tcPr>
            <w:tcW w:type="dxa" w:w="2160"/>
          </w:tcPr>
          <w:p>
            <w:r>
              <w:t>-0.48%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13505.78</w:t>
            </w:r>
          </w:p>
        </w:tc>
        <w:tc>
          <w:tcPr>
            <w:tcW w:type="dxa" w:w="2160"/>
          </w:tcPr>
          <w:p>
            <w:r>
              <w:t>-0.54%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3310.11</w:t>
            </w:r>
          </w:p>
        </w:tc>
        <w:tc>
          <w:tcPr>
            <w:tcW w:type="dxa" w:w="2160"/>
          </w:tcPr>
          <w:p>
            <w:r>
              <w:t>-1.01%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1574.04</w:t>
            </w:r>
          </w:p>
        </w:tc>
        <w:tc>
          <w:tcPr>
            <w:tcW w:type="dxa" w:w="2160"/>
          </w:tcPr>
          <w:p>
            <w:r>
              <w:t>-3.78%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4557.78</w:t>
            </w:r>
          </w:p>
        </w:tc>
        <w:tc>
          <w:tcPr>
            <w:tcW w:type="dxa" w:w="2160"/>
          </w:tcPr>
          <w:p>
            <w:r>
              <w:t>-0.66%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7436.46</w:t>
            </w:r>
          </w:p>
        </w:tc>
        <w:tc>
          <w:tcPr>
            <w:tcW w:type="dxa" w:w="2160"/>
          </w:tcPr>
          <w:p>
            <w:r>
              <w:t>-0.77%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北向资金：净流出 30.68 亿</w:t>
      </w:r>
      <w:r>
        <w:t xml:space="preserve">  |  沪股通 -9.28 亿  |  数据源: hexin</w:t>
      </w:r>
    </w:p>
    <w:p>
      <w:r>
        <w:rPr>
          <w:b/>
        </w:rPr>
        <w:t>大资金方向（替代两融）：</w:t>
      </w:r>
      <w:r>
        <w:t>30 股聚合净流入 -23.04 亿  |  大单净 -25.66 亿  |  涨家 17 / 跌家 13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1.0%  |  PPI 4.1%  |  PMI 49.2  |  M2 8.0%  |  LPR 1Y 3.0%</w:t>
      </w:r>
    </w:p>
    <w:p/>
    <w:p>
      <w:pPr>
        <w:pStyle w:val="Heading2"/>
      </w:pPr>
      <w:r>
        <w:t>量化分析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本时段核心变化是：科创50加速下跌，半导体设备/医药等板块出现个股集中抛售，恐慌情绪在泛科技方向蔓延，与多数个股温和调整形成结构性撕裂。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1. 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早盘主要股指延续低开低走格局，但内部结构严重分化。上证、深成指、创业板指较上一时段（09:58）基本持平，维持窄幅横盘，</w:t>
      </w:r>
      <w:r>
        <w:rPr>
          <w:rFonts w:ascii="微软雅黑" w:hAnsi="微软雅黑" w:eastAsia="微软雅黑"/>
          <w:b/>
          <w:color w:val="D29922"/>
          <w:sz w:val="22"/>
        </w:rPr>
        <w:t>动能衰竭</w:t>
      </w:r>
      <w:r>
        <w:rPr>
          <w:rFonts w:ascii="微软雅黑" w:hAnsi="微软雅黑" w:eastAsia="微软雅黑"/>
          <w:color w:val="1A1A1A"/>
          <w:sz w:val="22"/>
        </w:rPr>
        <w:t>。然而，科创50指数跌幅显著放大，已转入</w:t>
      </w:r>
      <w:r>
        <w:rPr>
          <w:rFonts w:ascii="微软雅黑" w:hAnsi="微软雅黑" w:eastAsia="微软雅黑"/>
          <w:b/>
          <w:color w:val="D29922"/>
          <w:sz w:val="22"/>
        </w:rPr>
        <w:t>动能加速</w:t>
      </w:r>
      <w:r>
        <w:rPr>
          <w:rFonts w:ascii="微软雅黑" w:hAnsi="微软雅黑" w:eastAsia="微软雅黑"/>
          <w:color w:val="1A1A1A"/>
          <w:sz w:val="22"/>
        </w:rPr>
        <w:t>下跌阶段，是当前市场的主要风险点。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2. 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：全市场上涨645家 vs 下跌340家，上涨比率64.5%。表面看多数个股飘红，情绪尚可，但这与指数普跌形成背离，说明权重股承压。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：半小时两市合计成交7219亿，量能相对平稳，未出现恐慌性放量。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北向资金</w:t>
      </w:r>
      <w:r>
        <w:rPr>
          <w:rFonts w:ascii="微软雅黑" w:hAnsi="微软雅黑" w:eastAsia="微软雅黑"/>
          <w:color w:val="1A1A1A"/>
          <w:sz w:val="22"/>
        </w:rPr>
        <w:t>：净流出30.68亿元（沪市-9.28亿，深市-21.4亿）。资金明确从深市，尤其是创业板、科创板相关标的撤离。较无上一时段对比数据，但当前流出速率清晰指向外资在科技方向上的避险动作。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资金流（大单估算）</w:t>
      </w:r>
      <w:r>
        <w:rPr>
          <w:rFonts w:ascii="微软雅黑" w:hAnsi="微软雅黑" w:eastAsia="微软雅黑"/>
          <w:color w:val="1A1A1A"/>
          <w:sz w:val="22"/>
        </w:rPr>
        <w:t>：30只样本股主力净流出23.04亿，其中大单净流出25.66亿，机构资金呈明确净卖出。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3. 板块热点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逆势方向</w:t>
      </w:r>
      <w:r>
        <w:rPr>
          <w:rFonts w:ascii="微软雅黑" w:hAnsi="微软雅黑" w:eastAsia="微软雅黑"/>
          <w:color w:val="1A1A1A"/>
          <w:sz w:val="22"/>
        </w:rPr>
        <w:t>：涨幅榜前列极度分散，无清晰主线。N聚仁（新股）、欣天科技、富瀚微等涨幅均超20%，但背后驱动是个股利好而非板块效应。*ST康乐、*ST航图等超跌ST股异动，反映游资在夹缝中寻找阻力最小的方向。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领跌重灾区</w:t>
      </w:r>
      <w:r>
        <w:rPr>
          <w:rFonts w:ascii="微软雅黑" w:hAnsi="微软雅黑" w:eastAsia="微软雅黑"/>
          <w:color w:val="1A1A1A"/>
          <w:sz w:val="22"/>
        </w:rPr>
        <w:t>：半导体设备与材料成为杀跌主力。华海清科（-12.83%）、拓荆科技（-10.53%）、芯源微（-8.85%）、精测电子（-9.91%）等代表性个股均出现-10%左右的断崖式下跌。医药板块的泽璟制药（-12.15%）同样出现踩踏。</w:t>
      </w:r>
      <w:r>
        <w:rPr>
          <w:rFonts w:ascii="微软雅黑" w:hAnsi="微软雅黑" w:eastAsia="微软雅黑"/>
          <w:b/>
          <w:color w:val="D29922"/>
          <w:sz w:val="22"/>
        </w:rPr>
        <w:t>这是本时段科创50加速下行的直接原因。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4. 技术信号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科创50</w:t>
      </w:r>
      <w:r>
        <w:rPr>
          <w:rFonts w:ascii="微软雅黑" w:hAnsi="微软雅黑" w:eastAsia="微软雅黑"/>
          <w:color w:val="1A1A1A"/>
          <w:sz w:val="22"/>
        </w:rPr>
        <w:t>：显著低开，较上一时段跌幅加速扩大，形成向下跳空缺口。此为典型的破位加速形态，下方无有效技术支撑参考，空方力量占据绝对主导。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上证/深成指/创业板</w:t>
      </w:r>
      <w:r>
        <w:rPr>
          <w:rFonts w:ascii="微软雅黑" w:hAnsi="微软雅黑" w:eastAsia="微软雅黑"/>
          <w:color w:val="1A1A1A"/>
          <w:sz w:val="22"/>
        </w:rPr>
        <w:t>：虽连续两日均是横盘，但重心持续下移。指数持续受压于短期均线下方，呈现弱势整理的“下跌中继”形态，MACD、RSI等指标未见底背离，短期仍有下行惯性。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5. 量化视角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结构撕裂</w:t>
      </w:r>
      <w:r>
        <w:rPr>
          <w:rFonts w:ascii="微软雅黑" w:hAnsi="微软雅黑" w:eastAsia="微软雅黑"/>
          <w:color w:val="1A1A1A"/>
          <w:sz w:val="22"/>
        </w:rPr>
        <w:t>：64.5%的上涨家数与科创50近-4%的跌幅并存，市场宽度指标出现严重背离。这并非健康的普涨调整，而是资金进行“非对称性抛售”——集中撤离泛科技，部分流入或坚守其他小市值品种。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量价关系</w:t>
      </w:r>
      <w:r>
        <w:rPr>
          <w:rFonts w:ascii="微软雅黑" w:hAnsi="微软雅黑" w:eastAsia="微软雅黑"/>
          <w:color w:val="1A1A1A"/>
          <w:sz w:val="22"/>
        </w:rPr>
        <w:t>：科创50呈现“价跌量增”的初期特征，部分权重股放量下杀，是明确的离场信号。其他指数处于“价跌量平”，观望与缓慢流出并存。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警示信号</w:t>
      </w:r>
      <w:r>
        <w:rPr>
          <w:rFonts w:ascii="微软雅黑" w:hAnsi="微软雅黑" w:eastAsia="微软雅黑"/>
          <w:color w:val="1A1A1A"/>
          <w:sz w:val="22"/>
        </w:rPr>
        <w:t>：半导体产业链出现板块内多只机构重仓股无差别大幅下跌，是典型的流动性冲击前兆，务必警惕此负反馈向其他科技细分领域扩散。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6. 宏观背景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最新公布的7月官方制造业PMI为49.2，服务业PMI为49.3，双双跌破荣枯线，显示经济复苏动能进一步放缓。这为当前市场的疲弱提供了宏观注脚。流动性方面，LPR已连续14个月不变，在商业银行净息差处于历史低位（1.4%）的压力下，总量货币政策宽松空间受限。在此背景下，市场对高估值板块的业绩兑现能力更为敏感和苛刻，科技股首当其冲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7. 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主板补跌风险</w:t>
      </w:r>
      <w:r>
        <w:rPr>
          <w:rFonts w:ascii="微软雅黑" w:hAnsi="微软雅黑" w:eastAsia="微软雅黑"/>
          <w:color w:val="1A1A1A"/>
          <w:sz w:val="22"/>
        </w:rPr>
        <w:t>：科创50的加速下跌若无法及时止住，恐慌情绪可能向创业板甚至主板蔓延，需警惕当前横盘板块出现补跌。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流动性风险</w:t>
      </w:r>
      <w:r>
        <w:rPr>
          <w:rFonts w:ascii="微软雅黑" w:hAnsi="微软雅黑" w:eastAsia="微软雅黑"/>
          <w:color w:val="1A1A1A"/>
          <w:sz w:val="22"/>
        </w:rPr>
        <w:t>：半导体板块部分个股跌速过快，需防范因流动性缺失导致的更大范围踩踏。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业绩证伪</w:t>
      </w:r>
      <w:r>
        <w:rPr>
          <w:rFonts w:ascii="微软雅黑" w:hAnsi="微软雅黑" w:eastAsia="微软雅黑"/>
          <w:color w:val="1A1A1A"/>
          <w:sz w:val="22"/>
        </w:rPr>
        <w:t>：宏观经济数据走弱叠加中报披露季，市场对业绩低于预期的高估值个股容忍度极低，一旦出现变化易引发股价剧烈修正。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