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2026-08-17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3927.18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14354.31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3626.30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1717.68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4665.88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7990.33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跌0.28%至26729点，跌幅温和，对A股开盘的传导更偏向情绪面而非资金面。由于富时A50期货数据缺失，无法直接量化外资隔夜态度，可观察早盘离岸人民币及港股开盘作为替代信号：若CNH走贬且恒指低开，A股低开概率上升；反之则大概率平开或小幅低开后修复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历史弹性看，纳指-0.28%对创业板指/科创50的映射约为-0.2%~-0.35%，影响有限。但需警惕昨日若科技权重已出现放量滞涨，则今日低开后的抛压会被放大，开盘30分钟的量能结构（是否较昨日同期缩量）是核心验证指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宏观面数据偏弱但结构分化：7月CPI同比仅0.5%（前值1.0%），PPI同比3.5%（前值4.1%），对应实际利率（LPR 1Y 3.0%-CPI）被动抬升至2.5%附近，为近两年高位，压制高估值成长股；M1-M2剪刀差为-4.0%，资金活化不足，市场整体beta空间受限。今日重点关注开盘后30分钟成交额能否达到昨日同期的80%以上——若缩量则观望情绪浓重，指数大概率维持弱势震荡；若放量下跌则须警惕趋势资金离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层面，PPI-CPI剪刀差收窄利好中下游制造业利润修复（家电、汽车零部件），而PPI输入性回落压制上游资源品（石油石化、煤炭）。有色矿采选业PPI仍涨22.6%，结构性景气延续。需注意PMI连续处于荣枯线下方可能触发稳增长政策博弈，基建链和地产链或有脉冲，但社融增量同比少增8606亿元，信用扩张偏弱环境下顺周期持续性存疑。关键位置看上证指数30日均线得失：若跳空低开且30分钟内无法回补缺口，短线情绪转弱，量化信号偏向防守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