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2026-07-31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3833.13</w:t>
            </w:r>
          </w:p>
        </w:tc>
        <w:tc>
          <w:tcPr>
            <w:tcW w:type="dxa" w:w="2160"/>
          </w:tcPr>
          <w:p>
            <w:r>
              <w:t>+0.75%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13715.64</w:t>
            </w:r>
          </w:p>
        </w:tc>
        <w:tc>
          <w:tcPr>
            <w:tcW w:type="dxa" w:w="2160"/>
          </w:tcPr>
          <w:p>
            <w:r>
              <w:t>+3.24%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3412.29</w:t>
            </w:r>
          </w:p>
        </w:tc>
        <w:tc>
          <w:tcPr>
            <w:tcW w:type="dxa" w:w="2160"/>
          </w:tcPr>
          <w:p>
            <w:r>
              <w:t>+5.17%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1683.80</w:t>
            </w:r>
          </w:p>
        </w:tc>
        <w:tc>
          <w:tcPr>
            <w:tcW w:type="dxa" w:w="2160"/>
          </w:tcPr>
          <w:p>
            <w:r>
              <w:t>+6.01%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4613.57</w:t>
            </w:r>
          </w:p>
        </w:tc>
        <w:tc>
          <w:tcPr>
            <w:tcW w:type="dxa" w:w="2160"/>
          </w:tcPr>
          <w:p>
            <w:r>
              <w:t>+1.40%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7553.13</w:t>
            </w:r>
          </w:p>
        </w:tc>
        <w:tc>
          <w:tcPr>
            <w:tcW w:type="dxa" w:w="2160"/>
          </w:tcPr>
          <w:p>
            <w:r>
              <w:t>+3.33%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109.82 亿  |  大单净 110.09 亿  |  涨家 25 / 跌家 5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A股呈现极致分化格局：成长赛道暴力反弹，而权重板块逆势承压。创业板指与科创50分别放量飙升5.17%和6.01%，场内赚钱效应爆棚（上涨家数超9成），但值得注意的是北向资金全天净流出30.68亿元，形成明显的资金背离信号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💹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</w:t>
      </w:r>
      <w:r>
        <w:rPr>
          <w:rFonts w:ascii="微软雅黑" w:hAnsi="微软雅黑" w:eastAsia="微软雅黑"/>
          <w:color w:val="1A1A1A"/>
          <w:sz w:val="22"/>
        </w:rPr>
        <w:t>：902:89，涨跌停比 91:0。普涨格局，多头占据绝对主导，且无恐慌性跌停，情绪处于短期亢奋极值。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  <w:r>
        <w:rPr>
          <w:rFonts w:ascii="微软雅黑" w:hAnsi="微软雅黑" w:eastAsia="微软雅黑"/>
          <w:color w:val="1A1A1A"/>
          <w:sz w:val="22"/>
        </w:rPr>
        <w:t>：指数成交额数据缺失，但从量能柱体看，创业板和科创50成交量显著放大，属于典型的“放量突破”形态。上证放量则相对温和。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</w:t>
      </w:r>
      <w:r>
        <w:rPr>
          <w:rFonts w:ascii="微软雅黑" w:hAnsi="微软雅黑" w:eastAsia="微软雅黑"/>
          <w:color w:val="1A1A1A"/>
          <w:sz w:val="22"/>
        </w:rPr>
        <w:t>：净流出 30.68 亿（沪 -9.28亿，深 -21.4亿）。指数大涨之际北向反向减持，主要抛压集中在深市（与今日领涨的创业板和深成指形成对立），显示外资此时选择兑现浮盈或调仓。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</w:t>
      </w:r>
      <w:r>
        <w:rPr>
          <w:rFonts w:ascii="微软雅黑" w:hAnsi="微软雅黑" w:eastAsia="微软雅黑"/>
          <w:color w:val="1A1A1A"/>
          <w:sz w:val="22"/>
        </w:rPr>
        <w:t>：样本大单净流入 110.09 亿，内资主力是今日推升核心力量。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🔥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领涨主线：硬核科技全面开花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次新股 (+4.70%)、电子器件 (+1.19%)、电子信息 (+0.71%)：</w:t>
      </w:r>
      <w:r>
        <w:rPr>
          <w:rFonts w:ascii="微软雅黑" w:hAnsi="微软雅黑" w:eastAsia="微软雅黑"/>
          <w:color w:val="1A1A1A"/>
          <w:sz w:val="22"/>
        </w:rPr>
        <w:t>受隔夜美股纳指大涨2.78%及全球半导体周期回暖预期提振。从涨幅榜看，宏景科技、和林微纳、福昕软件等20cm涨停集中于算力、软件及精密制造方向，属于典型的高贝塔科技行情。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有色金属 (+0.76%)：</w:t>
      </w:r>
      <w:r>
        <w:rPr>
          <w:rFonts w:ascii="微软雅黑" w:hAnsi="微软雅黑" w:eastAsia="微软雅黑"/>
          <w:color w:val="1A1A1A"/>
          <w:sz w:val="22"/>
        </w:rPr>
        <w:t>受LME铜价企稳及新能源上游材料需求复苏预期驱动，不过资金虹吸效应使其表现远逊于纯科技成长。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承压板块：防御与周期反向杀跌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酿酒 (-0.61%)、金融 (-0.13%)、石油 (-0.13%)：</w:t>
      </w:r>
      <w:r>
        <w:rPr>
          <w:rFonts w:ascii="微软雅黑" w:hAnsi="微软雅黑" w:eastAsia="微软雅黑"/>
          <w:color w:val="1A1A1A"/>
          <w:sz w:val="22"/>
        </w:rPr>
        <w:t>市场风险偏好急剧抬升下，高股息及防御性资产遭遇流动性抽离。北向重仓的酿酒和金融成为资金流出重灾区。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技术信号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 (3412.29, +5.17%)：</w:t>
      </w:r>
      <w:r>
        <w:rPr>
          <w:rFonts w:ascii="微软雅黑" w:hAnsi="微软雅黑" w:eastAsia="微软雅黑"/>
          <w:color w:val="1A1A1A"/>
          <w:sz w:val="22"/>
        </w:rPr>
        <w:t>一根巨阳线击穿多条短期均线压制，日线MACD绿柱急速缩短，即将于零轴上方金叉；RSI 快速上攻至 70 以上强势区，但短线严重超买。这是典型的底部岛形反转后加速形态。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 (1683.80, +6.01%)：</w:t>
      </w:r>
      <w:r>
        <w:rPr>
          <w:rFonts w:ascii="微软雅黑" w:hAnsi="微软雅黑" w:eastAsia="微软雅黑"/>
          <w:color w:val="1A1A1A"/>
          <w:sz w:val="22"/>
        </w:rPr>
        <w:t>表现最强，收盘站上所有短期均线，直逼前期箱体上沿。放量突破有效性强，但远离5日线（乖离率过高），技术上有回踩整固需求。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 (3833.13, +0.75%)：</w:t>
      </w:r>
      <w:r>
        <w:rPr>
          <w:rFonts w:ascii="微软雅黑" w:hAnsi="微软雅黑" w:eastAsia="微软雅黑"/>
          <w:color w:val="1A1A1A"/>
          <w:sz w:val="22"/>
        </w:rPr>
        <w:t>受大金融拖累，涨幅远落后期指，呈现被动跟涨的“大弱小强”格局。若不能快速补涨站稳3850，上证仅能定义为存量博弈下的跷跷板效应。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🔍 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量价背离：</w:t>
      </w:r>
      <w:r>
        <w:rPr>
          <w:rFonts w:ascii="微软雅黑" w:hAnsi="微软雅黑" w:eastAsia="微软雅黑"/>
          <w:color w:val="1A1A1A"/>
          <w:sz w:val="22"/>
        </w:rPr>
        <w:t>两大成长指数呈现绝对的“量增价升”健康结构，但北向流出与指数上涨形成资金面背离。表明当前推力来自高风偏内资游资及散户，行情的持续度将受北向后续流向的严峻考验。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市场宽度：</w:t>
      </w:r>
      <w:r>
        <w:rPr>
          <w:rFonts w:ascii="微软雅黑" w:hAnsi="微软雅黑" w:eastAsia="微软雅黑"/>
          <w:color w:val="1A1A1A"/>
          <w:sz w:val="22"/>
        </w:rPr>
        <w:t>宽度指标今日达到极值（90.2%个股上涨），根据历史统计，极致的宽度往往意味着次日将出现显著分化，盲目的追高风险收益比正在急剧下降。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资金结构：</w:t>
      </w:r>
      <w:r>
        <w:rPr>
          <w:rFonts w:ascii="微软雅黑" w:hAnsi="微软雅黑" w:eastAsia="微软雅黑"/>
          <w:color w:val="1A1A1A"/>
          <w:sz w:val="22"/>
        </w:rPr>
        <w:t>大单净买入尚可，但主要集中在科技板块；酿酒、地产链等呈现缩量阴跌的机构减仓痕迹。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🏛️ 宏观背景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通胀温和：</w:t>
      </w:r>
      <w:r>
        <w:rPr>
          <w:rFonts w:ascii="微软雅黑" w:hAnsi="微软雅黑" w:eastAsia="微软雅黑"/>
          <w:color w:val="1A1A1A"/>
          <w:sz w:val="22"/>
        </w:rPr>
        <w:t>6月CPI同比增1.0%，PPI同比增4.1%但环比下滑。上游价格涨幅回落有利于中下游科技制造企业利润修复，为今日科技股行情提供了基本面逻辑支撑。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流动性充裕：</w:t>
      </w:r>
      <w:r>
        <w:rPr>
          <w:rFonts w:ascii="微软雅黑" w:hAnsi="微软雅黑" w:eastAsia="微软雅黑"/>
          <w:color w:val="1A1A1A"/>
          <w:sz w:val="22"/>
        </w:rPr>
        <w:t>M2同比增8.0%，总量流动性无虞。但社融增量同比少增8606亿，实体融资需求依然偏弱，资金在金融市场囤积并寻找短期交易机会的倾向明显，滋生了该类脉冲性行情。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汇率稳定：</w:t>
      </w:r>
      <w:r>
        <w:rPr>
          <w:rFonts w:ascii="微软雅黑" w:hAnsi="微软雅黑" w:eastAsia="微软雅黑"/>
          <w:color w:val="1A1A1A"/>
          <w:sz w:val="22"/>
        </w:rPr>
        <w:t>在岸人民币保持6.75左右强势震荡，但鉴于北向今日流出，汇率稳定并未转化为实质的外资增量买盘。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情绪过热风险：</w:t>
      </w:r>
      <w:r>
        <w:rPr>
          <w:rFonts w:ascii="微软雅黑" w:hAnsi="微软雅黑" w:eastAsia="微软雅黑"/>
          <w:color w:val="1A1A1A"/>
          <w:sz w:val="22"/>
        </w:rPr>
        <w:t>91家涨停与0跌停显示情绪进入沸点。以历史经验看，此种一致性预期过强后，高位科技股极易面临日内剧烈波动，警惕明日盘中冲高回落的“强分化”。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外资定价背离：</w:t>
      </w:r>
      <w:r>
        <w:rPr>
          <w:rFonts w:ascii="微软雅黑" w:hAnsi="微软雅黑" w:eastAsia="微软雅黑"/>
          <w:color w:val="1A1A1A"/>
          <w:sz w:val="22"/>
        </w:rPr>
        <w:t>北向在指数拉升时持续流出超过30亿，特别是深股通流出较多。若明日北向继续流出，将直接考验今日追涨科技股的承接力度。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关注点：</w:t>
      </w:r>
      <w:r>
        <w:rPr>
          <w:rFonts w:ascii="微软雅黑" w:hAnsi="微软雅黑" w:eastAsia="微软雅黑"/>
          <w:color w:val="1A1A1A"/>
          <w:sz w:val="22"/>
        </w:rPr>
        <w:t>明日核心看点是科创50能否在盘中完成强势调整（不破今日阳线实体二分之一位）。若早盘前30分钟量能无法在上证补齐，需留意金融、酿酒等权重的进一步下杀是否会带崩小票情绪。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