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收盘报告</w:t>
      </w:r>
    </w:p>
    <w:p>
      <w:pPr>
        <w:jc w:val="center"/>
      </w:pPr>
      <w:r>
        <w:rPr>
          <w:color w:val="8B949E"/>
          <w:sz w:val="20"/>
        </w:rPr>
        <w:t>2026-08-31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3982.23</w:t>
            </w:r>
          </w:p>
        </w:tc>
        <w:tc>
          <w:tcPr>
            <w:tcW w:type="dxa" w:w="2160"/>
          </w:tcPr>
          <w:p>
            <w:r>
              <w:t>+0.76%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14008.16</w:t>
            </w:r>
          </w:p>
        </w:tc>
        <w:tc>
          <w:tcPr>
            <w:tcW w:type="dxa" w:w="2160"/>
          </w:tcPr>
          <w:p>
            <w:r>
              <w:t>+0.39%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3436.39</w:t>
            </w:r>
          </w:p>
        </w:tc>
        <w:tc>
          <w:tcPr>
            <w:tcW w:type="dxa" w:w="2160"/>
          </w:tcPr>
          <w:p>
            <w:r>
              <w:t>+0.35%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1682.10</w:t>
            </w:r>
          </w:p>
        </w:tc>
        <w:tc>
          <w:tcPr>
            <w:tcW w:type="dxa" w:w="2160"/>
          </w:tcPr>
          <w:p>
            <w:r>
              <w:t>+1.20%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4619.44</w:t>
            </w:r>
          </w:p>
        </w:tc>
        <w:tc>
          <w:tcPr>
            <w:tcW w:type="dxa" w:w="2160"/>
          </w:tcPr>
          <w:p>
            <w:r>
              <w:t>+0.22%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7949.85</w:t>
            </w:r>
          </w:p>
        </w:tc>
        <w:tc>
          <w:tcPr>
            <w:tcW w:type="dxa" w:w="2160"/>
          </w:tcPr>
          <w:p>
            <w:r>
              <w:t>+0.69%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36.3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23.73 亿  |  大单净 23.6 亿  |  涨家 23 / 跌家 7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尾盘增量加速上攻，科创50与中证500领涨，成交额放量26.3%，市场从震荡转向普涨试探。但南向资金逆势净买入36.3亿，且恒生指数收跌0.32%，内外资方向出现背离。整体判断：动能加速，短线偏强，但分歧已在酝酿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截至收盘，上证指数报3982.23点（+0.76%），深证成指报14008.16点（+0.39%），创业板指报3436.39点（+0.35%），科创50报1682.10点（+1.20%）。全市场成交额20900亿元，较上一时段（14:03）放量26.3%，量能显著放大，做多情绪升温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本时段核心变化是：量价齐升，但南向资金维持净流入，A股情绪未出现全面亢奋。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成交额：</w:t>
      </w:r>
      <w:r>
        <w:rPr>
          <w:rFonts w:ascii="微软雅黑" w:hAnsi="微软雅黑" w:eastAsia="微软雅黑"/>
          <w:color w:val="1A1A1A"/>
          <w:sz w:val="22"/>
        </w:rPr>
        <w:t>20900亿元，较上一时段+26.3%，放量明显。从全市场成交分布看，深市成交额（10967亿）仍高于沪市（9933亿），题材活跃度占优。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涨跌家数：</w:t>
      </w:r>
      <w:r>
        <w:rPr>
          <w:rFonts w:ascii="微软雅黑" w:hAnsi="微软雅黑" w:eastAsia="微软雅黑"/>
          <w:color w:val="1A1A1A"/>
          <w:sz w:val="22"/>
        </w:rPr>
        <w:t>全市场上涨725家、下跌262家、平盘13家，涨跌比为2.77:1，上涨占比72.5%。涨停27家、跌停4家，做多情绪占主导，但涨停家数未随指数大幅扩张，说明结构性而非全面进攻。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南向资金（反向指标）：</w:t>
      </w:r>
      <w:r>
        <w:rPr>
          <w:rFonts w:ascii="微软雅黑" w:hAnsi="微软雅黑" w:eastAsia="微软雅黑"/>
          <w:color w:val="1A1A1A"/>
          <w:sz w:val="22"/>
        </w:rPr>
        <w:t>港股通全日净买入36.31亿元（沪市净买入24.02亿，深市净买入12.29亿），较上一时段净买入增加-1.9亿。南向持续净流入，意味着内资仍在南下配置港股，对A股情绪形成边际分流。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外部联动：</w:t>
      </w:r>
      <w:r>
        <w:rPr>
          <w:rFonts w:ascii="微软雅黑" w:hAnsi="微软雅黑" w:eastAsia="微软雅黑"/>
          <w:color w:val="1A1A1A"/>
          <w:sz w:val="22"/>
        </w:rPr>
        <w:t>恒生科技+0.20%（弱多）、离岸人民币升值0.14%（弱多，USD/CNH 6.721）、恒生指数-0.32%（中等看空）。外部共识为分歧（2多1空），信号不可靠，本时段外部共识较14:03明显转弱。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本时段核心变化是：次新与传媒娱乐接力，医药连续承压，板块高低切换加速。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领涨方向：</w:t>
      </w:r>
      <w:r>
        <w:rPr>
          <w:rFonts w:ascii="微软雅黑" w:hAnsi="微软雅黑" w:eastAsia="微软雅黑"/>
          <w:color w:val="1A1A1A"/>
          <w:sz w:val="22"/>
        </w:rPr>
        <w:t>陶瓷行业（+1.78%）、次新股（+1.00%）、飞机制造（+0.30%）、电子器件（+0.33%）、仪器仪表（+0.33%）。次新股与传媒娱乐（涨停潮：中文在线、芒果超媒、海看股份、上海电影、龙版传媒等）表现突出，反映风险偏好抬升，资金向高弹性品种集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领跌方向：</w:t>
      </w:r>
      <w:r>
        <w:rPr>
          <w:rFonts w:ascii="微软雅黑" w:hAnsi="微软雅黑" w:eastAsia="微软雅黑"/>
          <w:color w:val="1A1A1A"/>
          <w:sz w:val="22"/>
        </w:rPr>
        <w:t>酿酒行业（-0.59%）、生物制药（-0.25%）、有色金属（-0.18%）、船舶制造（-0.15%）、食品行业（-0.13%）。医药板块承压明显（键凯科技-16.36%、万邦医药-13.81%、誉衡药业-10.08%），酿酒与食品继续拖累指数，消费与周期板块资金流出，符合当前"弱宏观+强题材"的市场结构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快速轮动警示：</w:t>
      </w:r>
      <w:r>
        <w:rPr>
          <w:rFonts w:ascii="微软雅黑" w:hAnsi="微软雅黑" w:eastAsia="微软雅黑"/>
          <w:color w:val="1A1A1A"/>
          <w:sz w:val="22"/>
        </w:rPr>
        <w:t>领涨板块中，陶瓷、玻璃、家具等冷门方向涨幅居前，而电子、飞机制造、仪器仪表等具基本面支撑的方向涨幅偏温和；医药从上周的强势品种转为领跌，显示板块持续性差，轮动加快。短线风格偏投机，追高需警惕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本时段核心变化是：各指数量增价涨，尾盘加速突破，但技术指标已进入超买区域，追涨安全边际收窄。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上证指数：</w:t>
      </w:r>
      <w:r>
        <w:rPr>
          <w:rFonts w:ascii="微软雅黑" w:hAnsi="微软雅黑" w:eastAsia="微软雅黑"/>
          <w:color w:val="1A1A1A"/>
          <w:sz w:val="22"/>
        </w:rPr>
        <w:t>3982.23点，较上一时段+0.32pp，加速上涨。量能放大，价格逼近4000点整数关口。MA系统多头排列，MACD虽仍在零轴上方但红柱缩短，KDJ进入超买区（J值&gt;100），RSI接近70，短线有回调需求，不宜追高。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深证成指：</w:t>
      </w:r>
      <w:r>
        <w:rPr>
          <w:rFonts w:ascii="微软雅黑" w:hAnsi="微软雅黑" w:eastAsia="微软雅黑"/>
          <w:color w:val="1A1A1A"/>
          <w:sz w:val="22"/>
        </w:rPr>
        <w:t>14008.16点，较上一时段+0.53pp，加速上涨。量价配合良好，但权重股分化，技术指标同样超买，关注13800点支撑。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创业板指：</w:t>
      </w:r>
      <w:r>
        <w:rPr>
          <w:rFonts w:ascii="微软雅黑" w:hAnsi="微软雅黑" w:eastAsia="微软雅黑"/>
          <w:color w:val="1A1A1A"/>
          <w:sz w:val="22"/>
        </w:rPr>
        <w:t>3436.39点，较上一时段+0.74pp，加速上涨，是尾盘拉升最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