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2026-08-26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3889.24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13745.87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3397.52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1604.59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4551.96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7710.59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本时段核心变化是：隔夜美股纳指+0.66%，但A50期货数据缺失，A股昨日指数全线贴零且板块快速轮动，今日开盘缺乏方向性合力。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涨0.66%，对A股电子、计算机等科技板块有情绪映射，但幅度温和；富时A50期货未获取到有效数据，无法直接确认外资对开盘的指向。结合昨日收盘，上证指数-0.01%（较上一时段-0.18pp，横盘延续，动能衰竭），深证成指+0.00%（较上一时段+0.34pp，动能加速），创业板指+0.00%（较上一时段+0.96pp，动能加速），科创50/沪深300/中证500均横盘。较昨日同期各指数变化几乎为零，说明多空高度胶着。创业板和深成指的边际加速属于无量横盘中的微弱脉冲，今日开盘若缺乏A50配合，大概率高开幅度有限或低开震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本时段核心变化是：板块快速轮动叠加宏观数据偏弱，今日重点防热点一日游和指数关键位失守。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昨日领涨板块完全替换为船舶制造、传媒娱乐、玻璃行业，原热点陶瓷、生物制药、仪器仪表熄火，这是典型的弱市资金无主线特征。宏观面：7月CPI同比0.5%（前值1.0%）、核心CPI 0.9%，PPI同比3.5%（前值4.1%），PMI制造业49.2、服务业49.3均低于荣枯线，显示内需疲软；但M2同比8.0%、M1同比4.0%流动性尚可，社融增量同比少增8606亿元，实体融资需求偏弱。LPR连续14个月不变，商业银行净息差1.4%历史低位，进一步降息空间受制约。今日关注上证指数能否守住昨日收盘位置，若深成指、创业板指无法延续+0.34pp、+0.96pp的边际改善，则形成动能衰竭确认，需防冲高回落。板块重点看昨日新晋热点是否直接被核，若高开低走则确认轮动衰竭，短线应收缩仓位。量化视角：开盘30分钟市场宽度（上涨家数占比）若低于55%，或成交额环比萎缩超10%，则全天偏弱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