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午后更新</w:t>
      </w:r>
    </w:p>
    <w:p>
      <w:pPr>
        <w:jc w:val="center"/>
      </w:pPr>
      <w:r>
        <w:rPr>
          <w:color w:val="8B949E"/>
          <w:sz w:val="20"/>
        </w:rPr>
        <w:t>2026-09-10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3935.98</w:t>
            </w:r>
          </w:p>
        </w:tc>
        <w:tc>
          <w:tcPr>
            <w:tcW w:type="dxa" w:w="2160"/>
          </w:tcPr>
          <w:p>
            <w:r>
              <w:t>-0.39%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13646.68</w:t>
            </w:r>
          </w:p>
        </w:tc>
        <w:tc>
          <w:tcPr>
            <w:tcW w:type="dxa" w:w="2160"/>
          </w:tcPr>
          <w:p>
            <w:r>
              <w:t>-0.56%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3349.86</w:t>
            </w:r>
          </w:p>
        </w:tc>
        <w:tc>
          <w:tcPr>
            <w:tcW w:type="dxa" w:w="2160"/>
          </w:tcPr>
          <w:p>
            <w:r>
              <w:t>-0.15%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1572.85</w:t>
            </w:r>
          </w:p>
        </w:tc>
        <w:tc>
          <w:tcPr>
            <w:tcW w:type="dxa" w:w="2160"/>
          </w:tcPr>
          <w:p>
            <w:r>
              <w:t>-0.46%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4552.77</w:t>
            </w:r>
          </w:p>
        </w:tc>
        <w:tc>
          <w:tcPr>
            <w:tcW w:type="dxa" w:w="2160"/>
          </w:tcPr>
          <w:p>
            <w:r>
              <w:t>-0.43%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7728.82</w:t>
            </w:r>
          </w:p>
        </w:tc>
        <w:tc>
          <w:tcPr>
            <w:tcW w:type="dxa" w:w="2160"/>
          </w:tcPr>
          <w:p>
            <w:r>
              <w:t>-0.51%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36.8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26.65 亿  |  大单净 22.76 亿  |  涨家 18 / 跌家 12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一、边际速览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横盘延续、涨跌比极端偏空、板块完全替换，资金向下沉但接不住。上证指数-0.39%，较上一时段微降0.03pp，较昨日同期扩大0.71pp；沪深300较上一时段走弱0.02pp，较昨日同期走弱0.80pp，属于**动能衰竭型横盘**，向下有压但无恐慌加速。成交额13326亿，较上一时段+22.1%午后明显放量，但较昨日同期-12.0%，量能是脉冲式放大而非趋势性入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涨跌比15.8%（上涨79家/下跌415家），较上一时段延续极弱格局，市场宽度进一步收缩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领涨板块完全替换：飞机制造、船舶制造、陶瓷行业接替上一时段卫浴电器、玻璃玻纤、玻纤制造，持续性极差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南向资金37亿净买入，较上一时段+2.7亿，内资午后继续流出A股南下，对短线情绪的压制边际增强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二、量价结构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沪深300成交额约3143亿，占两市13326亿的23.6%，未触及70%权重虹吸阈值，说明当前并非权重防御型缩量，而是**题材快速切换下的散点式抛压**。领涨板块涨幅均不足0.4%（船舶制造+0.396%、陶瓷行业+0.366%、飞机制造+0.27%），且领涨板块无明确龙头，属于被动承接而非主动进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权重股没有明显护盘动作，中证500-0.51%、中证500较上一时段仅+0.01pp，小盘同样疲弱，无结构性逃生通道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涨跌比15.8%与指数跌幅-0.39%~-0.56%明显背离，说明资金在个股层面大面积撤退，只是未形成指数级别踩踏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次新股-1.11%、酿酒行业-0.82%领跌，风险偏好向下，防御性消费板块未能提供支撑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四、内外联动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Python预判一致性-6.0，判定依据为恒生科技-2.30%、恒生指数-1.29%两个强看空信号；离岸人民币-0.01%为微弱信号，参考意义不大。预计算基本合理，恒生科技跌幅远超0.3%的阈值，是有效且明确的看空信号。南向资金+36.79亿为“大幅净流入”，方向与恒生疲弱一致，符合“南向大幅净买入+外部联动看空=内资撤离A股、南下避险”的偏空口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南向+36.79亿且恒生科技-2.30%、恒生指数-1.29%，说明资金并未把港股当作避风港，而是两边都在撤，只是A股撤得相对慢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离岸人民币-0.01%、在岸人民币-0.05%基本中性，人民币没有形成贬值共振，外部压力尚可控制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午后沪指跌幅较昨日同期扩大0.71pp，但成交额较昨日同期缩量12%，外部看空已被部分定价，进一步下探需超预期利空驱动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五、持续性评估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涨跌比连续2小时处于15%~18%极低区间，且今日较昨日同期的27%进一步收缩，市场宽度严重恶化。昨日涨停溢价率+0.0%（中位数），打板盈亏平衡，今日涨停家数仅3家，赚钱效应急剧萎缩，追涨交易者面临高概率亏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板块轮动两次完全替换（较上一时段和较昨日同期均为全新领涨），主线完全缺失，任何题材都难走出两日行情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午后放量但指数不涨反微跌，量增价跌的形态指向抛压释放尚未结束，尾盘存在二次探底风险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若14:00-15:00涨跌比继续低于20%，冰点反弹概率上升，但反弹高度受制于主线缺失，大概率仅为超跌修复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六、红黄绿灯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🔴 红灯：暂无触发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🟡 黄灯：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南向净买入36.79亿，午后持续净流入，A股短线资金分流未止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板块轮动加速且完全替换，主线不清晰，任何追涨行为均面临高概率被套风险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涨跌比连续2小时低于20%，尾盘反转概率上升但方向不确定，建议减仓观望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🟢 绿灯：暂无触发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