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 股量化报告 — 午后更新</w:t>
      </w:r>
    </w:p>
    <w:p>
      <w:pPr>
        <w:jc w:val="center"/>
      </w:pPr>
      <w:r>
        <w:rPr>
          <w:color w:val="8B949E"/>
          <w:sz w:val="20"/>
        </w:rPr>
        <w:t>2026-09-11  |  模型: DeepSeek  |  量化交易视角</w:t>
      </w:r>
    </w:p>
    <w:p>
      <w:pPr>
        <w:pStyle w:val="Heading2"/>
      </w:pPr>
      <w:r>
        <w:t>核心指标速览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指数</w:t>
            </w:r>
          </w:p>
        </w:tc>
        <w:tc>
          <w:tcPr>
            <w:tcW w:type="dxa" w:w="2160"/>
          </w:tcPr>
          <w:p>
            <w:r>
              <w:t>点位</w:t>
            </w:r>
          </w:p>
        </w:tc>
        <w:tc>
          <w:tcPr>
            <w:tcW w:type="dxa" w:w="2160"/>
          </w:tcPr>
          <w:p>
            <w:r>
              <w:t>涨跌幅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上证指数</w:t>
            </w:r>
          </w:p>
        </w:tc>
        <w:tc>
          <w:tcPr>
            <w:tcW w:type="dxa" w:w="2160"/>
          </w:tcPr>
          <w:p>
            <w:r>
              <w:t>3891.31</w:t>
            </w:r>
          </w:p>
        </w:tc>
        <w:tc>
          <w:tcPr>
            <w:tcW w:type="dxa" w:w="2160"/>
          </w:tcPr>
          <w:p>
            <w:r>
              <w:t>-1.10%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深证成指</w:t>
            </w:r>
          </w:p>
        </w:tc>
        <w:tc>
          <w:tcPr>
            <w:tcW w:type="dxa" w:w="2160"/>
          </w:tcPr>
          <w:p>
            <w:r>
              <w:t>13470.66</w:t>
            </w:r>
          </w:p>
        </w:tc>
        <w:tc>
          <w:tcPr>
            <w:tcW w:type="dxa" w:w="2160"/>
          </w:tcPr>
          <w:p>
            <w:r>
              <w:t>-1.08%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创业板指</w:t>
            </w:r>
          </w:p>
        </w:tc>
        <w:tc>
          <w:tcPr>
            <w:tcW w:type="dxa" w:w="2160"/>
          </w:tcPr>
          <w:p>
            <w:r>
              <w:t>3317.42</w:t>
            </w:r>
          </w:p>
        </w:tc>
        <w:tc>
          <w:tcPr>
            <w:tcW w:type="dxa" w:w="2160"/>
          </w:tcPr>
          <w:p>
            <w:r>
              <w:t>-0.63%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科创50</w:t>
            </w:r>
          </w:p>
        </w:tc>
        <w:tc>
          <w:tcPr>
            <w:tcW w:type="dxa" w:w="2160"/>
          </w:tcPr>
          <w:p>
            <w:r>
              <w:t>1548.28</w:t>
            </w:r>
          </w:p>
        </w:tc>
        <w:tc>
          <w:tcPr>
            <w:tcW w:type="dxa" w:w="2160"/>
          </w:tcPr>
          <w:p>
            <w:r>
              <w:t>-1.33%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沪深300</w:t>
            </w:r>
          </w:p>
        </w:tc>
        <w:tc>
          <w:tcPr>
            <w:tcW w:type="dxa" w:w="2160"/>
          </w:tcPr>
          <w:p>
            <w:r>
              <w:t>4511.33</w:t>
            </w:r>
          </w:p>
        </w:tc>
        <w:tc>
          <w:tcPr>
            <w:tcW w:type="dxa" w:w="2160"/>
          </w:tcPr>
          <w:p>
            <w:r>
              <w:t>-0.81%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中证500</w:t>
            </w:r>
          </w:p>
        </w:tc>
        <w:tc>
          <w:tcPr>
            <w:tcW w:type="dxa" w:w="2160"/>
          </w:tcPr>
          <w:p>
            <w:r>
              <w:t>7579.97</w:t>
            </w:r>
          </w:p>
        </w:tc>
        <w:tc>
          <w:tcPr>
            <w:tcW w:type="dxa" w:w="2160"/>
          </w:tcPr>
          <w:p>
            <w:r>
              <w:t>-1.79%</w:t>
            </w:r>
          </w:p>
        </w:tc>
        <w:tc>
          <w:tcPr>
            <w:tcW w:type="dxa" w:w="2160"/>
          </w:tcPr>
          <w:p>
            <w:r/>
          </w:p>
        </w:tc>
      </w:tr>
    </w:tbl>
    <w:p/>
    <w:p>
      <w:r>
        <w:rPr>
          <w:b/>
        </w:rPr>
        <w:t>外资监测</w:t>
      </w:r>
    </w:p>
    <w:p>
      <w:r>
        <w:t xml:space="preserve">  南向资金：净买入 26.9 亿（港股通，A股情绪反向指标）</w:t>
      </w:r>
      <w:r>
        <w:rPr>
          <w:color w:val="8B949E"/>
          <w:sz w:val="18"/>
        </w:rPr>
        <w:br/>
        <w:t xml:space="preserve">  注：北向净买入自2024年证监会新规后不再公开发布，外资监测由南向资金+外部联动构成</w:t>
      </w:r>
    </w:p>
    <w:p>
      <w:r>
        <w:rPr>
          <w:b/>
        </w:rPr>
        <w:t>大资金方向（替代两融）：</w:t>
      </w:r>
      <w:r>
        <w:t>30 股聚合净流入 -10.9 亿  |  大单净 -12.49 亿  |  涨家 15 / 跌家 15</w:t>
      </w:r>
      <w:r>
        <w:rPr>
          <w:color w:val="8B949E"/>
          <w:sz w:val="18"/>
        </w:rPr>
        <w:br/>
        <w:t>注：数据来自新浪资金流（大单/特大单估算），非融资融券官方数据，仅供参考大资金方向</w:t>
      </w:r>
    </w:p>
    <w:p>
      <w:r>
        <w:rPr>
          <w:b/>
        </w:rPr>
        <w:t>宏观数据：</w:t>
      </w:r>
      <w:r>
        <w:t>CPI 0.5%  |  PPI 3.5%  |  PMI 49.2  |  M2 8.0%  |  LPR 1Y 3.0%</w:t>
      </w:r>
    </w:p>
    <w:p/>
    <w:p>
      <w:pPr>
        <w:pStyle w:val="Heading2"/>
      </w:pPr>
      <w:r>
        <w:t>量化分析</w:t>
      </w:r>
    </w:p>
    <w:p>
      <w:pPr>
        <w:pStyle w:val="Heading2"/>
      </w:pPr>
      <w:r>
        <w:rPr>
          <w:rFonts w:ascii="微软雅黑" w:hAnsi="微软雅黑" w:eastAsia="微软雅黑"/>
          <w:color w:val="1A1A1A"/>
          <w:sz w:val="22"/>
        </w:rPr>
        <w:t>模块一：边际速览</w:t>
      </w:r>
    </w:p>
    <w:p>
      <w:pPr>
        <w:spacing w:after="120"/>
      </w:pPr>
      <w:r>
        <w:rPr>
          <w:rFonts w:ascii="微软雅黑" w:hAnsi="微软雅黑" w:eastAsia="微软雅黑"/>
          <w:color w:val="1A1A1A"/>
          <w:sz w:val="22"/>
        </w:rPr>
        <w:t>本时段核心变化是：</w:t>
      </w:r>
      <w:r>
        <w:rPr>
          <w:rFonts w:ascii="微软雅黑" w:hAnsi="微软雅黑" w:eastAsia="微软雅黑"/>
          <w:b/>
          <w:color w:val="D29922"/>
          <w:sz w:val="22"/>
        </w:rPr>
        <w:t>午后跌幅全线收窄、初现弱反抗，但涨跌结构依然极差，属“分时衰竭、日线加速”的过渡态，而非趋势反转信号。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/>
          <w:color w:val="D29922"/>
          <w:sz w:val="22"/>
        </w:rPr>
        <w:t>指数方向</w:t>
      </w:r>
      <w:r>
        <w:rPr>
          <w:rFonts w:ascii="微软雅黑" w:hAnsi="微软雅黑" w:eastAsia="微软雅黑"/>
          <w:color w:val="1A1A1A"/>
          <w:sz w:val="22"/>
        </w:rPr>
        <w:t>：较上一时段，上证/深成/创业板/科创50/沪深300/中证500 全部收窄跌幅，变化幅度为 +0.72~+1.67pp，其中创业板收窄幅度最大（+1.41pp）。这是典型的</w:t>
      </w:r>
      <w:r>
        <w:rPr>
          <w:rFonts w:ascii="微软雅黑" w:hAnsi="微软雅黑" w:eastAsia="微软雅黑"/>
          <w:b/>
          <w:color w:val="D29922"/>
          <w:sz w:val="22"/>
        </w:rPr>
        <w:t>动能衰竭</w:t>
      </w:r>
      <w:r>
        <w:rPr>
          <w:rFonts w:ascii="微软雅黑" w:hAnsi="微软雅黑" w:eastAsia="微软雅黑"/>
          <w:color w:val="1A1A1A"/>
          <w:sz w:val="22"/>
        </w:rPr>
        <w:t>苗头。但对照昨日同期，所有指数跌幅均为加速（中证500 较昨日同期 -1.28pp，最弱），说明</w:t>
      </w:r>
      <w:r>
        <w:rPr>
          <w:rFonts w:ascii="微软雅黑" w:hAnsi="微软雅黑" w:eastAsia="微软雅黑"/>
          <w:b/>
          <w:color w:val="D29922"/>
          <w:sz w:val="22"/>
        </w:rPr>
        <w:t>下行趋势未破</w:t>
      </w:r>
      <w:r>
        <w:rPr>
          <w:rFonts w:ascii="微软雅黑" w:hAnsi="微软雅黑" w:eastAsia="微软雅黑"/>
          <w:color w:val="1A1A1A"/>
          <w:sz w:val="22"/>
        </w:rPr>
        <w:t>，只是分时节奏出现休整。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/>
          <w:color w:val="D29922"/>
          <w:sz w:val="22"/>
        </w:rPr>
        <w:t>量能</w:t>
      </w:r>
      <w:r>
        <w:rPr>
          <w:rFonts w:ascii="微软雅黑" w:hAnsi="微软雅黑" w:eastAsia="微软雅黑"/>
          <w:color w:val="1A1A1A"/>
          <w:sz w:val="22"/>
        </w:rPr>
        <w:t>：成交额 16226 亿，较上一时段放量</w:t>
      </w:r>
      <w:r>
        <w:rPr>
          <w:rFonts w:ascii="微软雅黑" w:hAnsi="微软雅黑" w:eastAsia="微软雅黑"/>
          <w:b/>
          <w:color w:val="D29922"/>
          <w:sz w:val="22"/>
        </w:rPr>
        <w:t>+27.3%</w:t>
      </w:r>
      <w:r>
        <w:rPr>
          <w:rFonts w:ascii="微软雅黑" w:hAnsi="微软雅黑" w:eastAsia="微软雅黑"/>
          <w:color w:val="1A1A1A"/>
          <w:sz w:val="22"/>
        </w:rPr>
        <w:t>，较昨日同期 +21.8%。跌幅收窄配放量，说明有资金在承接，但当前未见主力方向性买盘确认，暂视为抛压被消化而非进攻启动。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/>
          <w:color w:val="D29922"/>
          <w:sz w:val="22"/>
        </w:rPr>
        <w:t>涨跌比</w:t>
      </w:r>
      <w:r>
        <w:rPr>
          <w:rFonts w:ascii="微软雅黑" w:hAnsi="微软雅黑" w:eastAsia="微软雅黑"/>
          <w:color w:val="1A1A1A"/>
          <w:sz w:val="22"/>
        </w:rPr>
        <w:t>：上涨家数 102 家 / 下跌 893 家，上涨比例仅</w:t>
      </w:r>
      <w:r>
        <w:rPr>
          <w:rFonts w:ascii="微软雅黑" w:hAnsi="微软雅黑" w:eastAsia="微软雅黑"/>
          <w:b/>
          <w:color w:val="D29922"/>
          <w:sz w:val="22"/>
        </w:rPr>
        <w:t>10.2%</w:t>
      </w:r>
      <w:r>
        <w:rPr>
          <w:rFonts w:ascii="微软雅黑" w:hAnsi="微软雅黑" w:eastAsia="微软雅黑"/>
          <w:color w:val="1A1A1A"/>
          <w:sz w:val="22"/>
        </w:rPr>
        <w:t>，为极弱势分布。昨日同期尚无完整数据，但从近两日市场宽度看，</w:t>
      </w:r>
      <w:r>
        <w:rPr>
          <w:rFonts w:ascii="微软雅黑" w:hAnsi="微软雅黑" w:eastAsia="微软雅黑"/>
          <w:b/>
          <w:color w:val="D29922"/>
          <w:sz w:val="22"/>
        </w:rPr>
        <w:t>个股大幅跑输指数</w:t>
      </w:r>
      <w:r>
        <w:rPr>
          <w:rFonts w:ascii="微软雅黑" w:hAnsi="微软雅黑" w:eastAsia="微软雅黑"/>
          <w:color w:val="1A1A1A"/>
          <w:sz w:val="22"/>
        </w:rPr>
        <w:t>，中证500跌幅（-1.79%）与上涨家数不足12%同步恶化，说明中小盘风险释放仍在进行。</w:t>
      </w:r>
    </w:p>
    <w:p>
      <w:pPr>
        <w:pStyle w:val="Heading2"/>
      </w:pPr>
      <w:r>
        <w:rPr>
          <w:rFonts w:ascii="微软雅黑" w:hAnsi="微软雅黑" w:eastAsia="微软雅黑"/>
          <w:color w:val="1A1A1A"/>
          <w:sz w:val="22"/>
        </w:rPr>
        <w:t>模块二：量价结构</w:t>
      </w:r>
    </w:p>
    <w:p>
      <w:pPr>
        <w:spacing w:after="120"/>
      </w:pPr>
      <w:r>
        <w:rPr>
          <w:rFonts w:ascii="微软雅黑" w:hAnsi="微软雅黑" w:eastAsia="微软雅黑"/>
          <w:color w:val="1A1A1A"/>
          <w:sz w:val="22"/>
        </w:rPr>
        <w:t>权重虹吸效应需要拆开看：沪深300成交额约 4243.26 亿，占两市</w:t>
      </w:r>
      <w:r>
        <w:rPr>
          <w:rFonts w:ascii="微软雅黑" w:hAnsi="微软雅黑" w:eastAsia="微软雅黑"/>
          <w:b/>
          <w:color w:val="D29922"/>
          <w:sz w:val="22"/>
        </w:rPr>
        <w:t>26.1%</w:t>
      </w:r>
      <w:r>
        <w:rPr>
          <w:rFonts w:ascii="微软雅黑" w:hAnsi="微软雅黑" w:eastAsia="微软雅黑"/>
          <w:color w:val="1A1A1A"/>
          <w:sz w:val="22"/>
        </w:rPr>
        <w:t>，远低于 70% 的虹吸阈值，</w:t>
      </w:r>
      <w:r>
        <w:rPr>
          <w:rFonts w:ascii="微软雅黑" w:hAnsi="微软雅黑" w:eastAsia="微软雅黑"/>
          <w:b/>
          <w:color w:val="D29922"/>
          <w:sz w:val="22"/>
        </w:rPr>
        <w:t>不构成典型的大盘极端抽血格局</w:t>
      </w:r>
      <w:r>
        <w:rPr>
          <w:rFonts w:ascii="微软雅黑" w:hAnsi="微软雅黑" w:eastAsia="微软雅黑"/>
          <w:color w:val="1A1A1A"/>
          <w:sz w:val="22"/>
        </w:rPr>
        <w:t>。但权重跌幅（-0.81%）明显小于中证500（-1.79%），</w:t>
      </w:r>
      <w:r>
        <w:rPr>
          <w:rFonts w:ascii="微软雅黑" w:hAnsi="微软雅黑" w:eastAsia="微软雅黑"/>
          <w:b/>
          <w:color w:val="D29922"/>
          <w:sz w:val="22"/>
        </w:rPr>
        <w:t>资金在跌势中优先躲避中小盘，属于下跌中的防御性集中，而非权重进攻性虹吸</w:t>
      </w:r>
      <w:r>
        <w:rPr>
          <w:rFonts w:ascii="微软雅黑" w:hAnsi="微软雅黑" w:eastAsia="微软雅黑"/>
          <w:color w:val="1A1A1A"/>
          <w:sz w:val="22"/>
        </w:rPr>
        <w:t>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/>
          <w:color w:val="D29922"/>
          <w:sz w:val="22"/>
        </w:rPr>
        <w:t>板块资金性质</w:t>
      </w:r>
      <w:r>
        <w:rPr>
          <w:rFonts w:ascii="微软雅黑" w:hAnsi="微软雅黑" w:eastAsia="微软雅黑"/>
          <w:color w:val="1A1A1A"/>
          <w:sz w:val="22"/>
        </w:rPr>
        <w:t>：领涨板块连续两个时段完全替换，且当前领涨的交通运输/物资外贸/造纸行业涨幅均为微跌（-0.14%至-0.15%区间），本质上是资金在低位流动性好的方向做超跌切换，</w:t>
      </w:r>
      <w:r>
        <w:rPr>
          <w:rFonts w:ascii="微软雅黑" w:hAnsi="微软雅黑" w:eastAsia="微软雅黑"/>
          <w:b/>
          <w:color w:val="D29922"/>
          <w:sz w:val="22"/>
        </w:rPr>
        <w:t>没有形成主线</w:t>
      </w:r>
      <w:r>
        <w:rPr>
          <w:rFonts w:ascii="微软雅黑" w:hAnsi="微软雅黑" w:eastAsia="微软雅黑"/>
          <w:color w:val="1A1A1A"/>
          <w:sz w:val="22"/>
        </w:rPr>
        <w:t>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/>
          <w:color w:val="D29922"/>
          <w:sz w:val="22"/>
        </w:rPr>
        <w:t>题材进攻性不足</w:t>
      </w:r>
      <w:r>
        <w:rPr>
          <w:rFonts w:ascii="微软雅黑" w:hAnsi="微软雅黑" w:eastAsia="微软雅黑"/>
          <w:color w:val="1A1A1A"/>
          <w:sz w:val="22"/>
        </w:rPr>
        <w:t>：涨幅居前个股大量来自新股/北交所（N燧原 +180.49%，但为次新股无参考价值）及低位补涨；跌停名单中华天酒店、红棉股份、财富趋势等消费/金融科技方向退潮明显，</w:t>
      </w:r>
      <w:r>
        <w:rPr>
          <w:rFonts w:ascii="微软雅黑" w:hAnsi="微软雅黑" w:eastAsia="微软雅黑"/>
          <w:b/>
          <w:color w:val="D29922"/>
          <w:sz w:val="22"/>
        </w:rPr>
        <w:t>没有可持续的题材承接</w:t>
      </w:r>
      <w:r>
        <w:rPr>
          <w:rFonts w:ascii="微软雅黑" w:hAnsi="微软雅黑" w:eastAsia="微软雅黑"/>
          <w:color w:val="1A1A1A"/>
          <w:sz w:val="22"/>
        </w:rPr>
        <w:t>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/>
          <w:color w:val="D29922"/>
          <w:sz w:val="22"/>
        </w:rPr>
        <w:t>资金流向佐证</w:t>
      </w:r>
      <w:r>
        <w:rPr>
          <w:rFonts w:ascii="微软雅黑" w:hAnsi="微软雅黑" w:eastAsia="微软雅黑"/>
          <w:color w:val="1A1A1A"/>
          <w:sz w:val="22"/>
        </w:rPr>
        <w:t>：新浪资金流样本（昨日）显示大单净额 -12.49 亿、总净额 -10.9 亿，流入/流出家数对半，</w:t>
      </w:r>
      <w:r>
        <w:rPr>
          <w:rFonts w:ascii="微软雅黑" w:hAnsi="微软雅黑" w:eastAsia="微软雅黑"/>
          <w:b/>
          <w:color w:val="D29922"/>
          <w:sz w:val="22"/>
        </w:rPr>
        <w:t>大资金并无一致做多行为</w:t>
      </w:r>
      <w:r>
        <w:rPr>
          <w:rFonts w:ascii="微软雅黑" w:hAnsi="微软雅黑" w:eastAsia="微软雅黑"/>
          <w:color w:val="1A1A1A"/>
          <w:sz w:val="22"/>
        </w:rPr>
        <w:t>，与放量收窄跌幅的盘面一致——是承接而非进攻。</w:t>
      </w:r>
    </w:p>
    <w:p>
      <w:pPr>
        <w:pStyle w:val="Heading2"/>
      </w:pPr>
      <w:r>
        <w:rPr>
          <w:rFonts w:ascii="微软雅黑" w:hAnsi="微软雅黑" w:eastAsia="微软雅黑"/>
          <w:color w:val="1A1A1A"/>
          <w:sz w:val="22"/>
        </w:rPr>
        <w:t>模块四：内外联动</w:t>
      </w:r>
    </w:p>
    <w:p>
      <w:pPr>
        <w:spacing w:after="120"/>
      </w:pPr>
      <w:r>
        <w:rPr>
          <w:rFonts w:ascii="微软雅黑" w:hAnsi="微软雅黑" w:eastAsia="微软雅黑"/>
          <w:color w:val="1A1A1A"/>
          <w:sz w:val="22"/>
        </w:rPr>
        <w:t>Python 预计算给出一致性分数 -1.8、置信度“分歧”，这一判断</w:t>
      </w:r>
      <w:r>
        <w:rPr>
          <w:rFonts w:ascii="微软雅黑" w:hAnsi="微软雅黑" w:eastAsia="微软雅黑"/>
          <w:b/>
          <w:color w:val="D29922"/>
          <w:sz w:val="22"/>
        </w:rPr>
        <w:t>合理可信</w:t>
      </w:r>
      <w:r>
        <w:rPr>
          <w:rFonts w:ascii="微软雅黑" w:hAnsi="微软雅黑" w:eastAsia="微软雅黑"/>
          <w:color w:val="1A1A1A"/>
          <w:sz w:val="22"/>
        </w:rPr>
        <w:t>。外部并非同向多头或空头，而是“两个弱看空 + 一个弱看多”的割裂结构：恒指 -0.50%（中等看空）、恒生科技 -0.17%（弱）、离岸人民币 -0.08%（弱看多，力度极小）。</w:t>
      </w:r>
      <w:r>
        <w:rPr>
          <w:rFonts w:ascii="微软雅黑" w:hAnsi="微软雅黑" w:eastAsia="微软雅黑"/>
          <w:b/>
          <w:color w:val="D29922"/>
          <w:sz w:val="22"/>
        </w:rPr>
        <w:t>没有背离需要重点解读，但正因力度都太弱，外部信号不可用</w:t>
      </w:r>
      <w:r>
        <w:rPr>
          <w:rFonts w:ascii="微软雅黑" w:hAnsi="微软雅黑" w:eastAsia="微软雅黑"/>
          <w:color w:val="1A1A1A"/>
          <w:sz w:val="22"/>
        </w:rPr>
        <w:t>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/>
          <w:color w:val="D29922"/>
          <w:sz w:val="22"/>
        </w:rPr>
        <w:t>南向资金佐证</w:t>
      </w:r>
      <w:r>
        <w:rPr>
          <w:rFonts w:ascii="微软雅黑" w:hAnsi="微软雅黑" w:eastAsia="微软雅黑"/>
          <w:color w:val="1A1A1A"/>
          <w:sz w:val="22"/>
        </w:rPr>
        <w:t>：港股通净买入</w:t>
      </w:r>
      <w:r>
        <w:rPr>
          <w:rFonts w:ascii="微软雅黑" w:hAnsi="微软雅黑" w:eastAsia="微软雅黑"/>
          <w:b/>
          <w:color w:val="D29922"/>
          <w:sz w:val="22"/>
        </w:rPr>
        <w:t>+26.9 亿</w:t>
      </w:r>
      <w:r>
        <w:rPr>
          <w:rFonts w:ascii="微软雅黑" w:hAnsi="微软雅黑" w:eastAsia="微软雅黑"/>
          <w:color w:val="1A1A1A"/>
          <w:sz w:val="22"/>
        </w:rPr>
        <w:t>（沪市 +24.91 亿为核心），较上一时段 +1.3 亿，较昨日同期由净卖出 -9.9 亿转为净买入。南向在跌势中加大流入，是内资对A股情绪偏弱的反向确认。</w:t>
      </w:r>
      <w:r>
        <w:rPr>
          <w:rFonts w:ascii="微软雅黑" w:hAnsi="微软雅黑" w:eastAsia="微软雅黑"/>
          <w:b/>
          <w:color w:val="D29922"/>
          <w:sz w:val="22"/>
        </w:rPr>
        <w:t>按“南向净买入+外部联动偏空”框架，内外资缺乏共振做多A股的理由</w:t>
      </w:r>
      <w:r>
        <w:rPr>
          <w:rFonts w:ascii="微软雅黑" w:hAnsi="微软雅黑" w:eastAsia="微软雅黑"/>
          <w:color w:val="1A1A1A"/>
          <w:sz w:val="22"/>
        </w:rPr>
        <w:t>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/>
          <w:color w:val="D29922"/>
          <w:sz w:val="22"/>
        </w:rPr>
        <w:t>结论</w:t>
      </w:r>
      <w:r>
        <w:rPr>
          <w:rFonts w:ascii="微软雅黑" w:hAnsi="微软雅黑" w:eastAsia="微软雅黑"/>
          <w:color w:val="1A1A1A"/>
          <w:sz w:val="22"/>
        </w:rPr>
        <w:t>：外部联动无效，以内盘量价为主——量价显示的是“跌势弱反抗”，不是“外部驱动的转折”。</w:t>
      </w:r>
    </w:p>
    <w:p>
      <w:pPr>
        <w:pStyle w:val="Heading2"/>
      </w:pPr>
      <w:r>
        <w:rPr>
          <w:rFonts w:ascii="微软雅黑" w:hAnsi="微软雅黑" w:eastAsia="微软雅黑"/>
          <w:color w:val="1A1A1A"/>
          <w:sz w:val="22"/>
        </w:rPr>
        <w:t>模块五：持续性评估</w:t>
      </w:r>
    </w:p>
    <w:p>
      <w:pPr>
        <w:spacing w:after="120"/>
      </w:pPr>
      <w:r>
        <w:rPr>
          <w:rFonts w:ascii="微软雅黑" w:hAnsi="微软雅黑" w:eastAsia="微软雅黑"/>
          <w:color w:val="1A1A1A"/>
          <w:sz w:val="22"/>
        </w:rPr>
        <w:t>涨跌比已经连续偏空，若拉长看，从昨日 14% 到今日 10.2%，</w:t>
      </w:r>
      <w:r>
        <w:rPr>
          <w:rFonts w:ascii="微软雅黑" w:hAnsi="微软雅黑" w:eastAsia="微软雅黑"/>
          <w:b/>
          <w:color w:val="D29922"/>
          <w:sz w:val="22"/>
        </w:rPr>
        <w:t>宽度进一步收缩</w:t>
      </w:r>
      <w:r>
        <w:rPr>
          <w:rFonts w:ascii="微软雅黑" w:hAnsi="微软雅黑" w:eastAsia="微软雅黑"/>
          <w:color w:val="1A1A1A"/>
          <w:sz w:val="22"/>
        </w:rPr>
        <w:t>。14:00 时段上涨家数不足 105 家，情绪极度冰点，稍有利好催化就可能出现尾盘脉冲式反抽，</w:t>
      </w:r>
      <w:r>
        <w:rPr>
          <w:rFonts w:ascii="微软雅黑" w:hAnsi="微软雅黑" w:eastAsia="微软雅黑"/>
          <w:b/>
          <w:color w:val="D29922"/>
          <w:sz w:val="22"/>
        </w:rPr>
        <w:t>但这种反抽在没有放量主线加持下，可持续性极差</w:t>
      </w:r>
      <w:r>
        <w:rPr>
          <w:rFonts w:ascii="微软雅黑" w:hAnsi="微软雅黑" w:eastAsia="微软雅黑"/>
          <w:color w:val="1A1A1A"/>
          <w:sz w:val="22"/>
        </w:rPr>
        <w:t>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/>
          <w:color w:val="D29922"/>
          <w:sz w:val="22"/>
        </w:rPr>
        <w:t>板块轮动加速</w:t>
      </w:r>
      <w:r>
        <w:rPr>
          <w:rFonts w:ascii="微软雅黑" w:hAnsi="微软雅黑" w:eastAsia="微软雅黑"/>
          <w:color w:val="1A1A1A"/>
          <w:sz w:val="22"/>
        </w:rPr>
        <w:t>：两个时段的领涨板块完全替换，说明资金不愿持仓过夜，以超短线博弈为主，追涨惯性弱，这个特征延续了昨日的弱势氛围。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/>
          <w:color w:val="D29922"/>
          <w:sz w:val="22"/>
        </w:rPr>
        <w:t>打板盈亏比</w:t>
      </w:r>
      <w:r>
        <w:rPr>
          <w:rFonts w:ascii="微软雅黑" w:hAnsi="微软雅黑" w:eastAsia="微软雅黑"/>
          <w:color w:val="1A1A1A"/>
          <w:sz w:val="22"/>
        </w:rPr>
        <w:t>：昨日涨停溢价率中位数仅 +1.6%，打板已至盈亏平衡临界。今日涨停家数不足 10 家、跌停 3 家（样本），赚钱效应极弱。</w:t>
      </w:r>
      <w:r>
        <w:rPr>
          <w:rFonts w:ascii="微软雅黑" w:hAnsi="微软雅黑" w:eastAsia="微软雅黑"/>
          <w:b/>
          <w:color w:val="D29922"/>
          <w:sz w:val="22"/>
        </w:rPr>
        <w:t>冰点之后未必直接反弹，可能以缩量阴跌再寻底的形式出清</w:t>
      </w:r>
      <w:r>
        <w:rPr>
          <w:rFonts w:ascii="微软雅黑" w:hAnsi="微软雅黑" w:eastAsia="微软雅黑"/>
          <w:color w:val="1A1A1A"/>
          <w:sz w:val="22"/>
        </w:rPr>
        <w:t>。</w:t>
      </w:r>
    </w:p>
    <w:p>
      <w:pPr>
        <w:pStyle w:val="Heading2"/>
      </w:pPr>
      <w:r>
        <w:rPr>
          <w:rFonts w:ascii="微软雅黑" w:hAnsi="微软雅黑" w:eastAsia="微软雅黑"/>
          <w:color w:val="1A1A1A"/>
          <w:sz w:val="22"/>
        </w:rPr>
        <w:t>模块六：红黄绿灯</w:t>
      </w:r>
    </w:p>
    <w:p>
      <w:pPr>
        <w:spacing w:after="120"/>
      </w:pPr>
      <w:r>
        <w:rPr>
          <w:rFonts w:ascii="微软雅黑" w:hAnsi="微软雅黑" w:eastAsia="微软雅黑"/>
          <w:color w:val="1A1A1A"/>
          <w:sz w:val="22"/>
        </w:rPr>
        <w:t>当前无红灯。黄灯信号明确，建议仓位从严控制，拒绝尾盘倒三角加仓的冲动。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color w:val="1A1A1A"/>
          <w:sz w:val="22"/>
        </w:rPr>
        <w:t>🟡</w:t>
      </w:r>
      <w:r>
        <w:rPr>
          <w:rFonts w:ascii="微软雅黑" w:hAnsi="微软雅黑" w:eastAsia="微软雅黑"/>
          <w:b/>
          <w:color w:val="D29922"/>
          <w:sz w:val="22"/>
        </w:rPr>
        <w:t>黄灯（观望）</w:t>
      </w:r>
      <w:r>
        <w:rPr>
          <w:rFonts w:ascii="微软雅黑" w:hAnsi="微软雅黑" w:eastAsia="微软雅黑"/>
          <w:color w:val="1A1A1A"/>
          <w:sz w:val="22"/>
        </w:rPr>
        <w:t>：外部方向分歧（score=-1.8），外部信号不可靠，内盘量价尚未给出多头确认。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color w:val="1A1A1A"/>
          <w:sz w:val="22"/>
        </w:rPr>
        <w:t>🟡</w:t>
      </w:r>
      <w:r>
        <w:rPr>
          <w:rFonts w:ascii="微软雅黑" w:hAnsi="微软雅黑" w:eastAsia="微软雅黑"/>
          <w:b/>
          <w:color w:val="D29922"/>
          <w:sz w:val="22"/>
        </w:rPr>
        <w:t>黄灯（观望）</w:t>
      </w:r>
      <w:r>
        <w:rPr>
          <w:rFonts w:ascii="微软雅黑" w:hAnsi="微软雅黑" w:eastAsia="微软雅黑"/>
          <w:color w:val="1A1A1A"/>
          <w:sz w:val="22"/>
        </w:rPr>
        <w:t>：板块轮动加速、主线缺失，追涨极易被套（昨日涨停溢价率已逼近打平）。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color w:val="1A1A1A"/>
          <w:sz w:val="22"/>
        </w:rPr>
        <w:t>🟡</w:t>
      </w:r>
      <w:r>
        <w:rPr>
          <w:rFonts w:ascii="微软雅黑" w:hAnsi="微软雅黑" w:eastAsia="微软雅黑"/>
          <w:b/>
          <w:color w:val="D29922"/>
          <w:sz w:val="22"/>
        </w:rPr>
        <w:t>黄灯（观望）</w:t>
      </w:r>
      <w:r>
        <w:rPr>
          <w:rFonts w:ascii="微软雅黑" w:hAnsi="微软雅黑" w:eastAsia="微软雅黑"/>
          <w:color w:val="1A1A1A"/>
          <w:sz w:val="22"/>
        </w:rPr>
        <w:t>：涨跌比连续极端，情绪冰点指向潜在的反抽脉冲，但反抽不等于反转，减仓观望优于主动买套。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color w:val="1A1A1A"/>
          <w:sz w:val="22"/>
        </w:rPr>
        <w:t>🔴</w:t>
      </w:r>
      <w:r>
        <w:rPr>
          <w:rFonts w:ascii="微软雅黑" w:hAnsi="微软雅黑" w:eastAsia="微软雅黑"/>
          <w:b/>
          <w:color w:val="D29922"/>
          <w:sz w:val="22"/>
        </w:rPr>
        <w:t>红灯</w:t>
      </w:r>
      <w:r>
        <w:rPr>
          <w:rFonts w:ascii="微软雅黑" w:hAnsi="微软雅黑" w:eastAsia="微软雅黑"/>
          <w:color w:val="1A1A1A"/>
          <w:sz w:val="22"/>
        </w:rPr>
        <w:t>：暂无触发。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color w:val="1A1A1A"/>
          <w:sz w:val="22"/>
        </w:rPr>
        <w:t>🟢</w:t>
      </w:r>
      <w:r>
        <w:rPr>
          <w:rFonts w:ascii="微软雅黑" w:hAnsi="微软雅黑" w:eastAsia="微软雅黑"/>
          <w:b/>
          <w:color w:val="D29922"/>
          <w:sz w:val="22"/>
        </w:rPr>
        <w:t>绿灯</w:t>
      </w:r>
      <w:r>
        <w:rPr>
          <w:rFonts w:ascii="微软雅黑" w:hAnsi="微软雅黑" w:eastAsia="微软雅黑"/>
          <w:color w:val="1A1A1A"/>
          <w:sz w:val="22"/>
        </w:rPr>
        <w:t>：暂无触发。</w:t>
      </w:r>
    </w:p>
    <w:p>
      <w:pPr>
        <w:spacing w:after="120"/>
      </w:pPr>
      <w:r>
        <w:rPr>
          <w:rFonts w:ascii="微软雅黑" w:hAnsi="微软雅黑" w:eastAsia="微软雅黑"/>
          <w:color w:val="1A1A1A"/>
          <w:sz w:val="22"/>
        </w:rPr>
        <w:t>免责声明：本报告由 AI 自动生成，仅供参考，不构成任何投资建议。投资有风险，入市需谨慎。报告中的数据来源于公开接口，不对其准确性做任何保证。</w:t>
      </w:r>
    </w:p>
    <w:p/>
    <w:p>
      <w:r>
        <w:rPr>
          <w:color w:val="8B949E"/>
          <w:sz w:val="16"/>
        </w:rPr>
        <w:t>⚠️ 免责声明：本报告由 AI 自动生成，仅供参考，不构成任何投资建议。投资有风险，入市需谨慎。报告中的数据来源于公开接口，不对其准确性做任何保证。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