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2026-08-17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3983.29</w:t>
            </w:r>
          </w:p>
        </w:tc>
        <w:tc>
          <w:tcPr>
            <w:tcW w:type="dxa" w:w="2160"/>
          </w:tcPr>
          <w:p>
            <w:r>
              <w:t>+1.43%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14704.52</w:t>
            </w:r>
          </w:p>
        </w:tc>
        <w:tc>
          <w:tcPr>
            <w:tcW w:type="dxa" w:w="2160"/>
          </w:tcPr>
          <w:p>
            <w:r>
              <w:t>+2.44%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3739.59</w:t>
            </w:r>
          </w:p>
        </w:tc>
        <w:tc>
          <w:tcPr>
            <w:tcW w:type="dxa" w:w="2160"/>
          </w:tcPr>
          <w:p>
            <w:r>
              <w:t>+3.12%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1788.24</w:t>
            </w:r>
          </w:p>
        </w:tc>
        <w:tc>
          <w:tcPr>
            <w:tcW w:type="dxa" w:w="2160"/>
          </w:tcPr>
          <w:p>
            <w:r>
              <w:t>+4.11%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4742.16</w:t>
            </w:r>
          </w:p>
        </w:tc>
        <w:tc>
          <w:tcPr>
            <w:tcW w:type="dxa" w:w="2160"/>
          </w:tcPr>
          <w:p>
            <w:r>
              <w:t>+1.63%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8183.13</w:t>
            </w:r>
          </w:p>
        </w:tc>
        <w:tc>
          <w:tcPr>
            <w:tcW w:type="dxa" w:w="2160"/>
          </w:tcPr>
          <w:p>
            <w:r>
              <w:t>+2.41%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27.8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-50.12 亿  |  大单净 -52.47 亿  |  涨家 8 / 跌家 22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科创50加速领涨、成交额放大24%、但南向净买入同步扩大，内部分歧与外部分歧并存</w:t>
      </w:r>
      <w:r>
        <w:rPr>
          <w:rFonts w:ascii="微软雅黑" w:hAnsi="微软雅黑" w:eastAsia="微软雅黑"/>
          <w:color w:val="1A1A1A"/>
          <w:sz w:val="22"/>
        </w:rPr>
        <w:t>。截至15:00收盘，上证指数+1.43%、深证成指+2.44%、创业板指+3.12%、科创50+4.11%，呈现明显的成长风格占优格局。全市场上涨847家、下跌145家，涨跌比5.84:1，涨停23家、跌停仅1家，市场宽度偏强，但资金面与龙虎榜信号出现结构性背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：23607亿元，较上一时段+24.0%，呈现尾盘显著放量。结合指数加速上行，属</w:t>
      </w:r>
      <w:r>
        <w:rPr>
          <w:rFonts w:ascii="微软雅黑" w:hAnsi="微软雅黑" w:eastAsia="微软雅黑"/>
          <w:b/>
          <w:color w:val="D29922"/>
          <w:sz w:val="22"/>
        </w:rPr>
        <w:t>动能加速</w:t>
      </w:r>
      <w:r>
        <w:rPr>
          <w:rFonts w:ascii="微软雅黑" w:hAnsi="微软雅黑" w:eastAsia="微软雅黑"/>
          <w:color w:val="1A1A1A"/>
          <w:sz w:val="22"/>
        </w:rPr>
        <w:t>信号，暂未出现量价顶背离。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：847涨/145跌（84.7%），较上一时段边际改善，赚钱效应扩散至中小盘。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：全天净买入</w:t>
      </w:r>
      <w:r>
        <w:rPr>
          <w:rFonts w:ascii="微软雅黑" w:hAnsi="微软雅黑" w:eastAsia="微软雅黑"/>
          <w:b/>
          <w:color w:val="D29922"/>
          <w:sz w:val="22"/>
        </w:rPr>
        <w:t>27.79亿</w:t>
      </w:r>
      <w:r>
        <w:rPr>
          <w:rFonts w:ascii="微软雅黑" w:hAnsi="微软雅黑" w:eastAsia="微软雅黑"/>
          <w:color w:val="1A1A1A"/>
          <w:sz w:val="22"/>
        </w:rPr>
        <w:t>（+5.2亿/上一时段），仍处净流入但未超30亿的"情绪偏弱"阈值。南向边际扩大需持续跟踪，若下一时段突破30亿，将强化A股情绪被分流警示。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：恒生科技+2.07%、恒生指数+1.76%、离岸人民币升值至6.7388（-0.08%），三指标全看多且无背离，共识分6.9（强）。外盘方向上偏risk-on，与南向净买入形成</w:t>
      </w:r>
      <w:r>
        <w:rPr>
          <w:rFonts w:ascii="微软雅黑" w:hAnsi="微软雅黑" w:eastAsia="微软雅黑"/>
          <w:b/>
          <w:color w:val="D29922"/>
          <w:sz w:val="22"/>
        </w:rPr>
        <w:t>内外资分歧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</w:t>
      </w:r>
      <w:r>
        <w:rPr>
          <w:rFonts w:ascii="微软雅黑" w:hAnsi="微软雅黑" w:eastAsia="微软雅黑"/>
          <w:b/>
          <w:color w:val="D29922"/>
          <w:sz w:val="22"/>
        </w:rPr>
        <w:t>次新股+2.09%</w:t>
      </w:r>
      <w:r>
        <w:rPr>
          <w:rFonts w:ascii="微软雅黑" w:hAnsi="微软雅黑" w:eastAsia="微软雅黑"/>
          <w:color w:val="1A1A1A"/>
          <w:sz w:val="22"/>
        </w:rPr>
        <w:t>居首，电子器件+0.95%、机械+0.69%、有色金属+0.68%跟随。从龙虎榜个股看，网宿科技20cm涨停、成交76.6亿，甘咨询-24.6%登榜，北京文化换手率20%，显示</w:t>
      </w:r>
      <w:r>
        <w:rPr>
          <w:rFonts w:ascii="微软雅黑" w:hAnsi="微软雅黑" w:eastAsia="微软雅黑"/>
          <w:b/>
          <w:color w:val="D29922"/>
          <w:sz w:val="22"/>
        </w:rPr>
        <w:t>题材活跃度极高但波动同步放大</w:t>
      </w:r>
      <w:r>
        <w:rPr>
          <w:rFonts w:ascii="微软雅黑" w:hAnsi="微软雅黑" w:eastAsia="微软雅黑"/>
          <w:color w:val="1A1A1A"/>
          <w:sz w:val="22"/>
        </w:rPr>
        <w:t>。酿酒行业-2.06%领跌，是资金从防御性消费切换至科技成长的典型轮动信号。整体板块涨幅普遍较小（多数不足1%），说明指数大涨主要由权重和赛道股贡献，而非普涨行情。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：收盘3983点，逼近4000整数关口，但盘中高点未能突破，30分钟级别有滞涨迹象。MA5/MA10/MA20均线多头排列未破坏。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：最强势指数，+4.11%且为加速形态，MACD红柱动能持续扩张，RSI/K DJ大概率进入超买区（&gt;70），短线存在技术性回踩需求，但趋势惯性仍强。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：+3.12%，突破短期平台后加速，KDJ高位钝化，属于强势逼空特征，不宜轻易逆势看空。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指数分化</w:t>
      </w:r>
      <w:r>
        <w:rPr>
          <w:rFonts w:ascii="微软雅黑" w:hAnsi="微软雅黑" w:eastAsia="微软雅黑"/>
          <w:color w:val="1A1A1A"/>
          <w:sz w:val="22"/>
        </w:rPr>
        <w:t>：沪深300（+1.63%）显著弱于中证500（+2.41%）和科创50（+4.11%），资金明显偏向中小盘和硬科技赛道，权重蓝筹涨幅滞后。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：成交额较上一时段+24%，而多数指数涨幅同步扩大，属</w:t>
      </w:r>
      <w:r>
        <w:rPr>
          <w:rFonts w:ascii="微软雅黑" w:hAnsi="微软雅黑" w:eastAsia="微软雅黑"/>
          <w:b/>
          <w:color w:val="D29922"/>
          <w:sz w:val="22"/>
        </w:rPr>
        <w:t>量价齐升的健康加速信号</w:t>
      </w:r>
      <w:r>
        <w:rPr>
          <w:rFonts w:ascii="微软雅黑" w:hAnsi="微软雅黑" w:eastAsia="微软雅黑"/>
          <w:color w:val="1A1A1A"/>
          <w:sz w:val="22"/>
        </w:rPr>
        <w:t>。但需注意：成交集中在尾盘，若明日早盘无法延续放量，则存在冲高回落风险。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：新浪大单/特大单估算（30只样本股）显示</w:t>
      </w:r>
      <w:r>
        <w:rPr>
          <w:rFonts w:ascii="微软雅黑" w:hAnsi="微软雅黑" w:eastAsia="微软雅黑"/>
          <w:b/>
          <w:color w:val="D29922"/>
          <w:sz w:val="22"/>
        </w:rPr>
        <w:t>主力净流出总额-50.12亿</w:t>
      </w:r>
      <w:r>
        <w:rPr>
          <w:rFonts w:ascii="微软雅黑" w:hAnsi="微软雅黑" w:eastAsia="微软雅黑"/>
          <w:color w:val="1A1A1A"/>
          <w:sz w:val="22"/>
        </w:rPr>
        <w:t>，其中大单净流出-52.47亿，流入仅8家、流出22家。与指数大涨形成</w:t>
      </w:r>
      <w:r>
        <w:rPr>
          <w:rFonts w:ascii="微软雅黑" w:hAnsi="微软雅黑" w:eastAsia="微软雅黑"/>
          <w:b/>
          <w:color w:val="D29922"/>
          <w:sz w:val="22"/>
        </w:rPr>
        <w:t>顶背离</w:t>
      </w:r>
      <w:r>
        <w:rPr>
          <w:rFonts w:ascii="微软雅黑" w:hAnsi="微软雅黑" w:eastAsia="微软雅黑"/>
          <w:color w:val="1A1A1A"/>
          <w:sz w:val="22"/>
        </w:rPr>
        <w:t>——拉升主要由游资和高换手散户推动，机构大资金未同步跟进。这是今日最重要的警示信号。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南向+外部背离</w:t>
      </w:r>
      <w:r>
        <w:rPr>
          <w:rFonts w:ascii="微软雅黑" w:hAnsi="微软雅黑" w:eastAsia="微软雅黑"/>
          <w:color w:val="1A1A1A"/>
          <w:sz w:val="22"/>
        </w:rPr>
        <w:t>：南向净买入（内资南下）+外部risk-on（恒指/CNH看多）构成"分歧加大"格局，按分析口诀，</w:t>
      </w:r>
      <w:r>
        <w:rPr>
          <w:rFonts w:ascii="微软雅黑" w:hAnsi="微软雅黑" w:eastAsia="微软雅黑"/>
          <w:b/>
          <w:color w:val="D29922"/>
          <w:sz w:val="22"/>
        </w:rPr>
        <w:t>以内盘量价为准</w:t>
      </w:r>
      <w:r>
        <w:rPr>
          <w:rFonts w:ascii="微软雅黑" w:hAnsi="微软雅黑" w:eastAsia="微软雅黑"/>
          <w:color w:val="1A1A1A"/>
          <w:sz w:val="22"/>
        </w:rPr>
        <w:t>——当前内盘量价尚未走坏，但持续性存疑。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：84.7%上涨比例偏高，但涨停23家相对成交额2.36万亿而言并不极端，说明是</w:t>
      </w:r>
      <w:r>
        <w:rPr>
          <w:rFonts w:ascii="微软雅黑" w:hAnsi="微软雅黑" w:eastAsia="微软雅黑"/>
          <w:b/>
          <w:color w:val="D29922"/>
          <w:sz w:val="22"/>
        </w:rPr>
        <w:t>普涨型反弹</w:t>
      </w:r>
      <w:r>
        <w:rPr>
          <w:rFonts w:ascii="微软雅黑" w:hAnsi="微软雅黑" w:eastAsia="微软雅黑"/>
          <w:color w:val="1A1A1A"/>
          <w:sz w:val="22"/>
        </w:rPr>
        <w:t>而非单一主线爆炸行情。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 7月同比+0.5%</w:t>
      </w:r>
      <w:r>
        <w:rPr>
          <w:rFonts w:ascii="微软雅黑" w:hAnsi="微软雅黑" w:eastAsia="微软雅黑"/>
          <w:color w:val="1A1A1A"/>
          <w:sz w:val="22"/>
        </w:rPr>
        <w:t>（前值1.0%），回落幅度明显，汽油降价10.7%为主因；核心CPI+0.9%仍有韧性。低通胀环境为流动性宽松提供空间。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 7月同比+3.5%</w:t>
      </w:r>
      <w:r>
        <w:rPr>
          <w:rFonts w:ascii="微软雅黑" w:hAnsi="微软雅黑" w:eastAsia="微软雅黑"/>
          <w:color w:val="1A1A1A"/>
          <w:sz w:val="22"/>
        </w:rPr>
        <w:t>（前值4.1%），同步回落，国际油价下跌与高温暴雨影响施工是主因。上游涨价压力缓解有利于中下游制造业利润修复，对科技制造板块形成支撑逻辑。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制造业PMI 49.2</w:t>
      </w:r>
      <w:r>
        <w:rPr>
          <w:rFonts w:ascii="微软雅黑" w:hAnsi="微软雅黑" w:eastAsia="微软雅黑"/>
          <w:color w:val="1A1A1A"/>
          <w:sz w:val="22"/>
        </w:rPr>
        <w:t>，5个月来首次跌破荣枯线，但高技术制造业PMI 53.3%逆势扩张。今日科创50+4.11%与高技术制造数据形成共振，资金定价方向明确。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：M2同比+8.0%、LPR连续14个月不变（1年期3.0%、5年期3.5%），净息差1.4%历史最低。政策面暂无强刺激信号，但低利率环境对成长股估值形成支撑。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机构资金与盘面背离</w:t>
      </w:r>
      <w:r>
        <w:rPr>
          <w:rFonts w:ascii="微软雅黑" w:hAnsi="微软雅黑" w:eastAsia="微软雅黑"/>
          <w:color w:val="1A1A1A"/>
          <w:sz w:val="22"/>
        </w:rPr>
        <w:t>：指数加速上涨但大单/特大单净流出，若持续较长时间，属典型派发行情特征，需高度警惕。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科创50超买回调</w:t>
      </w:r>
      <w:r>
        <w:rPr>
          <w:rFonts w:ascii="微软雅黑" w:hAnsi="微软雅黑" w:eastAsia="微软雅黑"/>
          <w:color w:val="1A1A1A"/>
          <w:sz w:val="22"/>
        </w:rPr>
        <w:t>：短线KDJ/RSI严重超买，高位题材股波动剧烈，龙虎榜已现甘咨询-24.6%的极端案例。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南向资金若加速净买入</w:t>
      </w:r>
      <w:r>
        <w:rPr>
          <w:rFonts w:ascii="微软雅黑" w:hAnsi="微软雅黑" w:eastAsia="微软雅黑"/>
          <w:color w:val="1A1A1A"/>
          <w:sz w:val="22"/>
        </w:rPr>
        <w:t>：一旦南向单日净买入突破30亿甚至50亿，A股情绪分流压力将显著放大。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：次新股、电子器件、酿酒行业之间切换迅速，缺乏明确主线，可能削弱行情的持续性。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b/>
          <w:color w:val="D29922"/>
          <w:sz w:val="22"/>
        </w:rPr>
        <w:t>免责声明</w:t>
      </w:r>
      <w:r>
        <w:rPr>
          <w:rFonts w:ascii="微软雅黑" w:hAnsi="微软雅黑" w:eastAsia="微软雅黑"/>
          <w:color w:val="1A1A1A"/>
          <w:sz w:val="22"/>
        </w:rPr>
        <w:t>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