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2026-08-27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3912.49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13841.33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3414.88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1632.02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4589.22</w:t>
            </w:r>
          </w:p>
        </w:tc>
        <w:tc>
          <w:tcPr>
            <w:tcW w:type="dxa" w:w="2160"/>
          </w:tcPr>
          <w:p>
            <w:r>
              <w:t>-0.03%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7770.33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隔夜纳斯达克仅微跌0.08%，对A股开盘冲击有限；但对比昨日同期，上证指数较昨日同期+0.01pp、深成指/创业板均0.00%横盘，盘前动能处于衰竭而非加速状态。富时A50期货数据未提供，无法直接验证外资对A股的方向判断；若仅以美股科技权重波动为参考，A股更可能平开或小幅低开后延续存量博弈，开盘方向取决于集合竞价量能是否放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从量价传导看，纳斯达克微跌缺乏方向性信号，且离岸人民币与南向资金无数据，外部联动信号弱；A股盘前横盘意味着趋势未反转，但需警惕若开盘后30分钟内成交额低于昨日同期，则横盘可能转为阴跌。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本时段核心变化是宏观数据偏弱（7月CPI 0.5%、PPI 3.5%均回落，制造业PMI 49.2连续第五个月收缩）与LPR连续14个月不变形成政策观望格局，压制风险偏好；结合昨日同期主要指数0.00%附近的横盘，指数层面短期看不到动能加速条件，重点观察量能是否出现首次放大信号。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板块层面，PPI回落指向上游周期承压，但高技术制造业PMI 53.3%逆势扩张，可能吸引资金向半导体、军工等高技术方向做结构性切换；同时关注央企红利类资产因M2增速8.0%仍处低位、净息差1.4%历史低位下的相对性价比。关键位置可参考昨日同期横盘平台，若上证指数在开盘后30分钟内无法站上前一交易日高点且量能同比萎缩，则视为动能衰竭，降低追涨仓位；反之若放量突破横盘平台，则视为弱转强信号，关注科技成长方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风险提示：需警惕南向资金若大幅净买入（&gt;30亿）作为A股情绪反向指标，以及离岸人民币若快速贬值可能引发的外资持仓抛压预期，尽管北向净买入数据已不公开，仍可通过A50期货与恒生科技联动观察外资方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