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3903.95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14061.79</w:t>
            </w:r>
          </w:p>
        </w:tc>
        <w:tc>
          <w:tcPr>
            <w:tcW w:type="dxa" w:w="2160"/>
          </w:tcPr>
          <w:p>
            <w:r>
              <w:t>+0.64%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3538.05</w:t>
            </w:r>
          </w:p>
        </w:tc>
        <w:tc>
          <w:tcPr>
            <w:tcW w:type="dxa" w:w="2160"/>
          </w:tcPr>
          <w:p>
            <w:r>
              <w:t>+1.21%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1654.46</w:t>
            </w:r>
          </w:p>
        </w:tc>
        <w:tc>
          <w:tcPr>
            <w:tcW w:type="dxa" w:w="2160"/>
          </w:tcPr>
          <w:p>
            <w:r>
              <w:t>+0.09%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4617.06</w:t>
            </w:r>
          </w:p>
        </w:tc>
        <w:tc>
          <w:tcPr>
            <w:tcW w:type="dxa" w:w="2160"/>
          </w:tcPr>
          <w:p>
            <w:r>
              <w:t>+0.53%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7836.28</w:t>
            </w:r>
          </w:p>
        </w:tc>
        <w:tc>
          <w:tcPr>
            <w:tcW w:type="dxa" w:w="2160"/>
          </w:tcPr>
          <w:p>
            <w:r>
              <w:t>-0.18%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12.1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14.74 亿  |  大单净 10.95 亿  |  涨家 21 / 跌家 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本时段核心变化是：指数上行与个股普跌严重背离，中证500加速下跌暴露市场宽度恶化，权重护盘掩盖了中小盘的失血。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上午收盘，沪指微涨0.01%报3903.95，深成指涨0.64%，创业板指涨1.21%领跑全市场；但中证500逆势下跌0.18%，且较昨日同期大幅走弱1.42个百分点，属</w:t>
      </w:r>
      <w:r>
        <w:rPr>
          <w:rFonts w:ascii="微软雅黑" w:hAnsi="微软雅黑" w:eastAsia="微软雅黑"/>
          <w:b/>
          <w:color w:val="D29922"/>
          <w:sz w:val="22"/>
        </w:rPr>
        <w:t>加速下跌</w:t>
      </w:r>
      <w:r>
        <w:rPr>
          <w:rFonts w:ascii="微软雅黑" w:hAnsi="微软雅黑" w:eastAsia="微软雅黑"/>
          <w:color w:val="1A1A1A"/>
          <w:sz w:val="22"/>
        </w:rPr>
        <w:t>。市场呈现典型的"指数红盘、个股绿盘"格局，上涨家数仅346家、下跌640家，上涨占比34.6%，赚钱效应显著弱于指数表现。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346涨/640跌/14平，上涨占比34.6%，较昨日同期进一步恶化。涨停仅3家、跌停6家，</w:t>
      </w:r>
      <w:r>
        <w:rPr>
          <w:rFonts w:ascii="微软雅黑" w:hAnsi="微软雅黑" w:eastAsia="微软雅黑"/>
          <w:b/>
          <w:color w:val="D29922"/>
          <w:sz w:val="22"/>
        </w:rPr>
        <w:t>跌停家数首次超过涨停</w:t>
      </w:r>
      <w:r>
        <w:rPr>
          <w:rFonts w:ascii="微软雅黑" w:hAnsi="微软雅黑" w:eastAsia="微软雅黑"/>
          <w:color w:val="1A1A1A"/>
          <w:sz w:val="22"/>
        </w:rPr>
        <w:t>，情绪面偏弱。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半日两市合计约1.25万亿，量能维持中等偏活跃水平，但</w:t>
      </w:r>
      <w:r>
        <w:rPr>
          <w:rFonts w:ascii="微软雅黑" w:hAnsi="微软雅黑" w:eastAsia="微软雅黑"/>
          <w:b/>
          <w:color w:val="D29922"/>
          <w:sz w:val="22"/>
        </w:rPr>
        <w:t>量能未随创业板上涨同步放大</w:t>
      </w:r>
      <w:r>
        <w:rPr>
          <w:rFonts w:ascii="微软雅黑" w:hAnsi="微软雅黑" w:eastAsia="微软雅黑"/>
          <w:color w:val="1A1A1A"/>
          <w:sz w:val="22"/>
        </w:rPr>
        <w:t>，存在量价背离隐忧。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港股通净卖出12.14亿（沪市-14.71亿、深市+2.57亿），较昨日同期-11.4亿变化不大，维持净流出状态。内资未大幅南下，A股情绪指标中性偏正。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恒生指数+0.67%、恒生科技+0.23%、离岸人民币微升值0.03%，三者方向一致偏多，但外部共识得分从上一时段6.9显著降至2.7（Δ-4.2），</w:t>
      </w:r>
      <w:r>
        <w:rPr>
          <w:rFonts w:ascii="微软雅黑" w:hAnsi="微软雅黑" w:eastAsia="微软雅黑"/>
          <w:b/>
          <w:color w:val="D29922"/>
          <w:sz w:val="22"/>
        </w:rPr>
        <w:t>外资风险偏好边际减弱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板块快速轮动警报：</w:t>
      </w:r>
      <w:r>
        <w:rPr>
          <w:rFonts w:ascii="微软雅黑" w:hAnsi="微软雅黑" w:eastAsia="微软雅黑"/>
          <w:color w:val="1A1A1A"/>
          <w:sz w:val="22"/>
        </w:rPr>
        <w:t>领涨板块较昨日同期完全替换——电子器件、有色金属、陶瓷行业接替了昨日的生物制药、次新股、医疗器械。</w:t>
      </w:r>
      <w:r>
        <w:rPr>
          <w:rFonts w:ascii="微软雅黑" w:hAnsi="微软雅黑" w:eastAsia="微软雅黑"/>
          <w:b/>
          <w:color w:val="D29922"/>
          <w:sz w:val="22"/>
        </w:rPr>
        <w:t>这种"今日领涨=明日领跌"的快速切换，说明市场缺乏持续主线，资金在打游击战。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领涨：</w:t>
      </w:r>
      <w:r>
        <w:rPr>
          <w:rFonts w:ascii="微软雅黑" w:hAnsi="微软雅黑" w:eastAsia="微软雅黑"/>
          <w:color w:val="1A1A1A"/>
          <w:sz w:val="22"/>
        </w:rPr>
        <w:t>陶瓷行业+1.66%、电子器件+0.42%、有色金属+0.34%。有色走强受LME铜+0.52%提振；陶瓷行业更多是特种陶瓷/电子陶瓷概念驱动，属题材性炒作。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领跌：</w:t>
      </w:r>
      <w:r>
        <w:rPr>
          <w:rFonts w:ascii="微软雅黑" w:hAnsi="微软雅黑" w:eastAsia="微软雅黑"/>
          <w:color w:val="1A1A1A"/>
          <w:sz w:val="22"/>
        </w:rPr>
        <w:t>酿酒行业-0.75%、生物制药-0.58%、医疗器械-0.37%。</w:t>
      </w:r>
      <w:r>
        <w:rPr>
          <w:rFonts w:ascii="微软雅黑" w:hAnsi="微软雅黑" w:eastAsia="微软雅黑"/>
          <w:b/>
          <w:color w:val="D29922"/>
          <w:sz w:val="22"/>
        </w:rPr>
        <w:t>昨日领涨的医药生物今日反手领跌，一日游特征明显，追高风险极大。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结构性特征：</w:t>
      </w:r>
      <w:r>
        <w:rPr>
          <w:rFonts w:ascii="微软雅黑" w:hAnsi="微软雅黑" w:eastAsia="微软雅黑"/>
          <w:color w:val="1A1A1A"/>
          <w:sz w:val="22"/>
        </w:rPr>
        <w:t>个股涨幅榜呈现极致虹吸——大量20cm涨停集中于科创板（康希诺、近岸蛋白、键凯科技等），但全市场涨停仅3家。资金高度集中在极少数强势股，多数股票被抽血。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3903点横盘，较昨日同期-0.27pp，5日/10日均线附近胶着，MACD红柱动能不足，属</w:t>
      </w:r>
      <w:r>
        <w:rPr>
          <w:rFonts w:ascii="微软雅黑" w:hAnsi="微软雅黑" w:eastAsia="微软雅黑"/>
          <w:b/>
          <w:color w:val="D29922"/>
          <w:sz w:val="22"/>
        </w:rPr>
        <w:t>动能衰竭格局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+1.21%，较昨日同期+0.17pp，保持相对强势，但</w:t>
      </w:r>
      <w:r>
        <w:rPr>
          <w:rFonts w:ascii="微软雅黑" w:hAnsi="微软雅黑" w:eastAsia="微软雅黑"/>
          <w:b/>
          <w:color w:val="D29922"/>
          <w:sz w:val="22"/>
        </w:rPr>
        <w:t>涨幅主要由权重贡献</w:t>
      </w:r>
      <w:r>
        <w:rPr>
          <w:rFonts w:ascii="微软雅黑" w:hAnsi="微软雅黑" w:eastAsia="微软雅黑"/>
          <w:color w:val="1A1A1A"/>
          <w:sz w:val="22"/>
        </w:rPr>
        <w:t>，指数与个股宽度形成背离。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沪深300：</w:t>
      </w:r>
      <w:r>
        <w:rPr>
          <w:rFonts w:ascii="微软雅黑" w:hAnsi="微软雅黑" w:eastAsia="微软雅黑"/>
          <w:color w:val="1A1A1A"/>
          <w:sz w:val="22"/>
        </w:rPr>
        <w:t>+0.53%，较昨日同期+0.32pp，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，权重护盘意图明显。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中证500：</w:t>
      </w:r>
      <w:r>
        <w:rPr>
          <w:rFonts w:ascii="微软雅黑" w:hAnsi="微软雅黑" w:eastAsia="微软雅黑"/>
          <w:color w:val="1A1A1A"/>
          <w:sz w:val="22"/>
        </w:rPr>
        <w:t>-0.18%，较昨日同期-1.42pp，</w:t>
      </w:r>
      <w:r>
        <w:rPr>
          <w:rFonts w:ascii="微软雅黑" w:hAnsi="微软雅黑" w:eastAsia="微软雅黑"/>
          <w:b/>
          <w:color w:val="D29922"/>
          <w:sz w:val="22"/>
        </w:rPr>
        <w:t>加速下跌</w:t>
      </w:r>
      <w:r>
        <w:rPr>
          <w:rFonts w:ascii="微软雅黑" w:hAnsi="微软雅黑" w:eastAsia="微软雅黑"/>
          <w:color w:val="1A1A1A"/>
          <w:sz w:val="22"/>
        </w:rPr>
        <w:t>，已出现破位迹象，需高度警惕扩散至中证1000甚至创业板中小盘。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关键信号：</w:t>
      </w:r>
      <w:r>
        <w:rPr>
          <w:rFonts w:ascii="微软雅黑" w:hAnsi="微软雅黑" w:eastAsia="微软雅黑"/>
          <w:color w:val="1A1A1A"/>
          <w:sz w:val="22"/>
        </w:rPr>
        <w:t>沪深300加速上行 vs 中证500加速下行，两者剪刀差急剧扩大，是典型的存量博弈下资金向权重避险、抛弃中小盘的信号。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上涨占比仅34.6%，与创业板+1.21%严重背离。两者背离幅度越大，指数上行越不可持续。</w:t>
      </w:r>
      <w:r>
        <w:rPr>
          <w:rFonts w:ascii="微软雅黑" w:hAnsi="微软雅黑" w:eastAsia="微软雅黑"/>
          <w:b/>
          <w:color w:val="D29922"/>
          <w:sz w:val="22"/>
        </w:rPr>
        <w:t>近5个交易日该背离持续拉大，当前已处于极端区域。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创业板指数上涨但量能未同步放大，中证500下跌却伴随成交维持——资金在卖中小盘、买权重，属防守型交易而非进攻型增量资金入场。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新浪资金流样本显示大单净流入10.95亿（30只样本），但样本量过小，参考价值有限。从板块轮动速度看，主力资金缺乏战略性建仓意愿。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涨跌停结构：</w:t>
      </w:r>
      <w:r>
        <w:rPr>
          <w:rFonts w:ascii="微软雅黑" w:hAnsi="微软雅黑" w:eastAsia="微软雅黑"/>
          <w:color w:val="1A1A1A"/>
          <w:sz w:val="22"/>
        </w:rPr>
        <w:t>涨停3家 vs 跌停6家，跌停数高于涨停数，说明</w:t>
      </w:r>
      <w:r>
        <w:rPr>
          <w:rFonts w:ascii="微软雅黑" w:hAnsi="微软雅黑" w:eastAsia="微软雅黑"/>
          <w:b/>
          <w:color w:val="D29922"/>
          <w:sz w:val="22"/>
        </w:rPr>
        <w:t>实际赚钱效应极差</w:t>
      </w:r>
      <w:r>
        <w:rPr>
          <w:rFonts w:ascii="微软雅黑" w:hAnsi="微软雅黑" w:eastAsia="微软雅黑"/>
          <w:color w:val="1A1A1A"/>
          <w:sz w:val="22"/>
        </w:rPr>
        <w:t>，指数红盘掩盖了市场真实的弱势结构。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基本面：</w:t>
      </w:r>
      <w:r>
        <w:rPr>
          <w:rFonts w:ascii="微软雅黑" w:hAnsi="微软雅黑" w:eastAsia="微软雅黑"/>
          <w:color w:val="1A1A1A"/>
          <w:sz w:val="22"/>
        </w:rPr>
        <w:t>7月制造业PMI 49.2，已跌破荣枯线，为5个月最低；CPI同比0.5%较前值1.0%明显回落，PPI 3.5%同步走弱。</w:t>
      </w:r>
      <w:r>
        <w:rPr>
          <w:rFonts w:ascii="微软雅黑" w:hAnsi="微软雅黑" w:eastAsia="微软雅黑"/>
          <w:b/>
          <w:color w:val="D29922"/>
          <w:sz w:val="22"/>
        </w:rPr>
        <w:t>企业盈利预期和终端需求双双承压，基本面不支持全面牛市。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流动性：</w:t>
      </w:r>
      <w:r>
        <w:rPr>
          <w:rFonts w:ascii="微软雅黑" w:hAnsi="微软雅黑" w:eastAsia="微软雅黑"/>
          <w:color w:val="1A1A1A"/>
          <w:sz w:val="22"/>
        </w:rPr>
        <w:t>M2同比8.0%，LPR连续14个月维持不变（1Y 3.0%/5Y 3.5%），7天逆回购1.4%。货币政策保持宽松定力，但商业银行净息差1.4%处于历史低位，</w:t>
      </w:r>
      <w:r>
        <w:rPr>
          <w:rFonts w:ascii="微软雅黑" w:hAnsi="微软雅黑" w:eastAsia="微软雅黑"/>
          <w:b/>
          <w:color w:val="D29922"/>
          <w:sz w:val="22"/>
        </w:rPr>
        <w:t>进一步宽松空间受限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政策面：</w:t>
      </w:r>
      <w:r>
        <w:rPr>
          <w:rFonts w:ascii="微软雅黑" w:hAnsi="微软雅黑" w:eastAsia="微软雅黑"/>
          <w:color w:val="1A1A1A"/>
          <w:sz w:val="22"/>
        </w:rPr>
        <w:t>当前市场处于"弱基本面 + 偏宽松流动性"的拉锯状态。指数有护盘力量，但缺乏基本面驱动的上行动力，</w:t>
      </w:r>
      <w:r>
        <w:rPr>
          <w:rFonts w:ascii="微软雅黑" w:hAnsi="微软雅黑" w:eastAsia="微软雅黑"/>
          <w:b/>
          <w:color w:val="D29922"/>
          <w:sz w:val="22"/>
        </w:rPr>
        <w:t>结构性行情而非趋势性行情是主基调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外部环境：</w:t>
      </w:r>
      <w:r>
        <w:rPr>
          <w:rFonts w:ascii="微软雅黑" w:hAnsi="微软雅黑" w:eastAsia="微软雅黑"/>
          <w:color w:val="1A1A1A"/>
          <w:sz w:val="22"/>
        </w:rPr>
        <w:t>美股三大指数集体下跌（道指-1.32%、标普-0.87%、纳指-1.0%），但港股逆势走强，A股受港股带动更大，需关注美股调整的后续传导风险。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市场宽度持续恶化：</w:t>
      </w:r>
      <w:r>
        <w:rPr>
          <w:rFonts w:ascii="微软雅黑" w:hAnsi="微软雅黑" w:eastAsia="微软雅黑"/>
          <w:color w:val="1A1A1A"/>
          <w:sz w:val="22"/>
        </w:rPr>
        <w:t>上涨占比仅34.6%，且连续多日处于低位。指数上涨若不能带动宽度修复，极易出现急跌。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板块快速轮动陷阱：</w:t>
      </w:r>
      <w:r>
        <w:rPr>
          <w:rFonts w:ascii="微软雅黑" w:hAnsi="微软雅黑" w:eastAsia="微软雅黑"/>
          <w:color w:val="1A1A1A"/>
          <w:sz w:val="22"/>
        </w:rPr>
        <w:t>昨日领涨的医药今日领跌，今日领涨的电子/有色/陶瓷明日是否重蹈覆辙？</w:t>
      </w:r>
      <w:r>
        <w:rPr>
          <w:rFonts w:ascii="微软雅黑" w:hAnsi="微软雅黑" w:eastAsia="微软雅黑"/>
          <w:b/>
          <w:color w:val="D29922"/>
          <w:sz w:val="22"/>
        </w:rPr>
        <w:t>当前追涨杀跌的胜率极低，轮动速度越快，指数级别风险越大。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中证500加速下跌：</w:t>
      </w:r>
      <w:r>
        <w:rPr>
          <w:rFonts w:ascii="微软雅黑" w:hAnsi="微软雅黑" w:eastAsia="微软雅黑"/>
          <w:color w:val="1A1A1A"/>
          <w:sz w:val="22"/>
        </w:rPr>
        <w:t>中小盘破位风险上升。若中证500下午无法止跌，可能拖累创业板中小盘股，引发指数与个股同向调整。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涨停家数极低：</w:t>
      </w:r>
      <w:r>
        <w:rPr>
          <w:rFonts w:ascii="微软雅黑" w:hAnsi="微软雅黑" w:eastAsia="微软雅黑"/>
          <w:color w:val="1A1A1A"/>
          <w:sz w:val="22"/>
        </w:rPr>
        <w:t>仅3家涨停，说明活跃资金在收缩。低涨停数+高轮动速度=市场缺乏主线信心。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外部共识边际减弱：</w:t>
      </w:r>
      <w:r>
        <w:rPr>
          <w:rFonts w:ascii="微软雅黑" w:hAnsi="微软雅黑" w:eastAsia="微软雅黑"/>
          <w:color w:val="1A1A1A"/>
          <w:sz w:val="22"/>
        </w:rPr>
        <w:t>外部联动方向虽然仍偏多，但共识得分从+6.9骤降至+2.7，外资risk-on的确定性在下降。南向资金净流出幅度不大，信号强度有限，</w:t>
      </w:r>
      <w:r>
        <w:rPr>
          <w:rFonts w:ascii="微软雅黑" w:hAnsi="微软雅黑" w:eastAsia="微软雅黑"/>
          <w:b/>
          <w:color w:val="D29922"/>
          <w:sz w:val="22"/>
        </w:rPr>
        <w:t>不宜将其作为单一做多依据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