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2026-09-08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3942.54</w:t>
            </w:r>
          </w:p>
        </w:tc>
        <w:tc>
          <w:tcPr>
            <w:tcW w:type="dxa" w:w="2160"/>
          </w:tcPr>
          <w:p>
            <w:r>
              <w:t>+0.25%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13706.97</w:t>
            </w:r>
          </w:p>
        </w:tc>
        <w:tc>
          <w:tcPr>
            <w:tcW w:type="dxa" w:w="2160"/>
          </w:tcPr>
          <w:p>
            <w:r>
              <w:t>-0.49%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3360.25</w:t>
            </w:r>
          </w:p>
        </w:tc>
        <w:tc>
          <w:tcPr>
            <w:tcW w:type="dxa" w:w="2160"/>
          </w:tcPr>
          <w:p>
            <w:r>
              <w:t>-1.13%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1591.48</w:t>
            </w:r>
          </w:p>
        </w:tc>
        <w:tc>
          <w:tcPr>
            <w:tcW w:type="dxa" w:w="2160"/>
          </w:tcPr>
          <w:p>
            <w:r>
              <w:t>-1.49%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4560.46</w:t>
            </w:r>
          </w:p>
        </w:tc>
        <w:tc>
          <w:tcPr>
            <w:tcW w:type="dxa" w:w="2160"/>
          </w:tcPr>
          <w:p>
            <w:r>
              <w:t>-0.32%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7774.93</w:t>
            </w:r>
          </w:p>
        </w:tc>
        <w:tc>
          <w:tcPr>
            <w:tcW w:type="dxa" w:w="2160"/>
          </w:tcPr>
          <w:p>
            <w:r>
              <w:t>+0.20%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58.9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-34.03 亿  |  大单净 -36.45 亿  |  涨家 5 / 跌家 25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本时段核心变化是：防御性板块加速轮动，创业板/科创50加速下跌，成长股内部出现踩踏迹象。</w:t>
      </w:r>
      <w:r>
        <w:rPr>
          <w:rFonts w:ascii="微软雅黑" w:hAnsi="微软雅黑" w:eastAsia="微软雅黑"/>
          <w:color w:val="1A1A1A"/>
          <w:sz w:val="22"/>
        </w:rPr>
        <w:t>上证指数收涨0.25%报3942.54点，但创业板指下跌1.13%、科创50大跌1.49%，指数间极致分化。全市场涨跌比为487:504，上涨家数不足五成，但成交额放量至19396亿，较上一时段增加23.6%，呈现"放量滞涨"格局。市场资金从科技成长向农业、能源、军工等防御与资源品方向快速迁移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涨跌幅结构</w:t>
      </w:r>
      <w:r>
        <w:rPr>
          <w:rFonts w:ascii="微软雅黑" w:hAnsi="微软雅黑" w:eastAsia="微软雅黑"/>
          <w:color w:val="1A1A1A"/>
          <w:sz w:val="22"/>
        </w:rPr>
        <w:t>：上证 +0.25%、深证成指 -0.49%、创业板指 -1.13%、科创50 -1.49%、沪深300 -0.32%、中证500 +0.20%。上证与中证500收红，但深证成指较上一时段下跌0.22pp，创业板指较昨日同期加速下跌4.53pp，科创50较昨日同期加速下跌3.92pp——</w:t>
      </w:r>
      <w:r>
        <w:rPr>
          <w:rFonts w:ascii="微软雅黑" w:hAnsi="微软雅黑" w:eastAsia="微软雅黑"/>
          <w:b/>
          <w:color w:val="D29922"/>
          <w:sz w:val="22"/>
        </w:rPr>
        <w:t>指数级分化是当前最大特征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：19396亿，较上一时段放量23.6%，但创业板/科创50的放量伴随下跌，说明是</w:t>
      </w:r>
      <w:r>
        <w:rPr>
          <w:rFonts w:ascii="微软雅黑" w:hAnsi="微软雅黑" w:eastAsia="微软雅黑"/>
          <w:b/>
          <w:color w:val="D29922"/>
          <w:sz w:val="22"/>
        </w:rPr>
        <w:t>砍仓型放量</w:t>
      </w:r>
      <w:r>
        <w:rPr>
          <w:rFonts w:ascii="微软雅黑" w:hAnsi="微软雅黑" w:eastAsia="微软雅黑"/>
          <w:color w:val="1A1A1A"/>
          <w:sz w:val="22"/>
        </w:rPr>
        <w:t>，而非增量资金入场。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涨跌比</w:t>
      </w:r>
      <w:r>
        <w:rPr>
          <w:rFonts w:ascii="微软雅黑" w:hAnsi="微软雅黑" w:eastAsia="微软雅黑"/>
          <w:color w:val="1A1A1A"/>
          <w:sz w:val="22"/>
        </w:rPr>
        <w:t>：上涨487家、下跌504家，上涨占比48.7%，市场宽度偏中性偏弱。</w:t>
      </w:r>
      <w:r>
        <w:rPr>
          <w:rFonts w:ascii="微软雅黑" w:hAnsi="微软雅黑" w:eastAsia="微软雅黑"/>
          <w:b/>
          <w:color w:val="D29922"/>
          <w:sz w:val="22"/>
        </w:rPr>
        <w:t>涨跌比与指数上涨背离</w:t>
      </w:r>
      <w:r>
        <w:rPr>
          <w:rFonts w:ascii="微软雅黑" w:hAnsi="微软雅黑" w:eastAsia="微软雅黑"/>
          <w:color w:val="1A1A1A"/>
          <w:sz w:val="22"/>
        </w:rPr>
        <w:t>，暗示权重护盘掩盖个股普跌。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</w:t>
      </w:r>
      <w:r>
        <w:rPr>
          <w:rFonts w:ascii="微软雅黑" w:hAnsi="微软雅黑" w:eastAsia="微软雅黑"/>
          <w:color w:val="1A1A1A"/>
          <w:sz w:val="22"/>
        </w:rPr>
        <w:t>：港股通净买入58.9亿，较上一时段增加5.5亿，较昨日同期大幅增加45.5亿。此为</w:t>
      </w:r>
      <w:r>
        <w:rPr>
          <w:rFonts w:ascii="微软雅黑" w:hAnsi="微软雅黑" w:eastAsia="微软雅黑"/>
          <w:b/>
          <w:color w:val="D29922"/>
          <w:sz w:val="22"/>
        </w:rPr>
        <w:t>A股情绪反向指标</w:t>
      </w:r>
      <w:r>
        <w:rPr>
          <w:rFonts w:ascii="微软雅黑" w:hAnsi="微软雅黑" w:eastAsia="微软雅黑"/>
          <w:color w:val="1A1A1A"/>
          <w:sz w:val="22"/>
        </w:rPr>
        <w:t>，南向大幅净流入意味着内资在A股情绪偏弱时南下抄底港股，</w:t>
      </w:r>
      <w:r>
        <w:rPr>
          <w:rFonts w:ascii="微软雅黑" w:hAnsi="微软雅黑" w:eastAsia="微软雅黑"/>
          <w:b/>
          <w:color w:val="D29922"/>
          <w:sz w:val="22"/>
        </w:rPr>
        <w:t>A股内资情绪边际转弱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外部联动（外资方向推断）</w:t>
      </w:r>
      <w:r>
        <w:rPr>
          <w:rFonts w:ascii="微软雅黑" w:hAnsi="微软雅黑" w:eastAsia="微软雅黑"/>
          <w:color w:val="1A1A1A"/>
          <w:sz w:val="22"/>
        </w:rPr>
        <w:t>：恒生指数 -0.26%（弱看空）、恒生科技 -1.53%（强看空）、离岸人民币 +0.02%（中性）。恒生科技单日下跌1.53%，与A股创业板/科创50的弱势形成共振，</w:t>
      </w:r>
      <w:r>
        <w:rPr>
          <w:rFonts w:ascii="微软雅黑" w:hAnsi="微软雅黑" w:eastAsia="微软雅黑"/>
          <w:b/>
          <w:color w:val="D29922"/>
          <w:sz w:val="22"/>
        </w:rPr>
        <w:t>外资在亚太科技资产方向呈现风险规避姿态</w:t>
      </w:r>
      <w:r>
        <w:rPr>
          <w:rFonts w:ascii="微软雅黑" w:hAnsi="微软雅黑" w:eastAsia="微软雅黑"/>
          <w:color w:val="1A1A1A"/>
          <w:sz w:val="22"/>
        </w:rPr>
        <w:t>。南向净买入与外部偏空的方向缺失完全一致，等待进一步确认。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领涨板块</w:t>
      </w:r>
      <w:r>
        <w:rPr>
          <w:rFonts w:ascii="微软雅黑" w:hAnsi="微软雅黑" w:eastAsia="微软雅黑"/>
          <w:color w:val="1A1A1A"/>
          <w:sz w:val="22"/>
        </w:rPr>
        <w:t>：农药化肥（+0.44%）、石油行业（+0.29%）、飞机制造（+0.71%）、船舶制造（+0.26%）。领涨板块较上一时段</w:t>
      </w:r>
      <w:r>
        <w:rPr>
          <w:rFonts w:ascii="微软雅黑" w:hAnsi="微软雅黑" w:eastAsia="微软雅黑"/>
          <w:b/>
          <w:color w:val="D29922"/>
          <w:sz w:val="22"/>
        </w:rPr>
        <w:t>完全替换</w:t>
      </w:r>
      <w:r>
        <w:rPr>
          <w:rFonts w:ascii="微软雅黑" w:hAnsi="微软雅黑" w:eastAsia="微软雅黑"/>
          <w:color w:val="1A1A1A"/>
          <w:sz w:val="22"/>
        </w:rPr>
        <w:t>（此前为磷肥及磷化工、房产租赁经纪、粮食种植），形成典型的</w:t>
      </w:r>
      <w:r>
        <w:rPr>
          <w:rFonts w:ascii="微软雅黑" w:hAnsi="微软雅黑" w:eastAsia="微软雅黑"/>
          <w:b/>
          <w:color w:val="D29922"/>
          <w:sz w:val="22"/>
        </w:rPr>
        <w:t>板块快速轮动</w:t>
      </w:r>
      <w:r>
        <w:rPr>
          <w:rFonts w:ascii="微软雅黑" w:hAnsi="微软雅黑" w:eastAsia="微软雅黑"/>
          <w:color w:val="1A1A1A"/>
          <w:sz w:val="22"/>
        </w:rPr>
        <w:t>信号——资金在寻找事件驱动的短线出口，而非构筑稳定主线。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领跌板块</w:t>
      </w:r>
      <w:r>
        <w:rPr>
          <w:rFonts w:ascii="微软雅黑" w:hAnsi="微软雅黑" w:eastAsia="微软雅黑"/>
          <w:color w:val="1A1A1A"/>
          <w:sz w:val="22"/>
        </w:rPr>
        <w:t>：次新股（-0.77%）、陶瓷行业（-0.18%）、酿酒行业（-0.17%）、电子器件（-0.20%）。次新股大幅下跌是</w:t>
      </w:r>
      <w:r>
        <w:rPr>
          <w:rFonts w:ascii="微软雅黑" w:hAnsi="微软雅黑" w:eastAsia="微软雅黑"/>
          <w:b/>
          <w:color w:val="D29922"/>
          <w:sz w:val="22"/>
        </w:rPr>
        <w:t>风险偏好收缩</w:t>
      </w:r>
      <w:r>
        <w:rPr>
          <w:rFonts w:ascii="微软雅黑" w:hAnsi="微软雅黑" w:eastAsia="微软雅黑"/>
          <w:color w:val="1A1A1A"/>
          <w:sz w:val="22"/>
        </w:rPr>
        <w:t>的典型信号，新股炒作退潮。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驱动逻辑</w:t>
      </w:r>
      <w:r>
        <w:rPr>
          <w:rFonts w:ascii="微软雅黑" w:hAnsi="微软雅黑" w:eastAsia="微软雅黑"/>
          <w:color w:val="1A1A1A"/>
          <w:sz w:val="22"/>
        </w:rPr>
        <w:t>：农业（农药化肥）受益于物价预期与防御需求；石油行业受国际地缘局势与油价高位（WTI原油94.14美元/桶）支撑；飞机制造/军工方向由事件驱动与自主可控主题催化，在当前宏观环境下具备相对确定性溢价。科技成长（电子器件）受制于高估值与外资联动走弱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：收于3942.54点，换手率3.89%，</w:t>
      </w:r>
      <w:r>
        <w:rPr>
          <w:rFonts w:ascii="微软雅黑" w:hAnsi="微软雅黑" w:eastAsia="微软雅黑"/>
          <w:b/>
          <w:color w:val="D29922"/>
          <w:sz w:val="22"/>
        </w:rPr>
        <w:t>偏多但有隐忧</w:t>
      </w:r>
      <w:r>
        <w:rPr>
          <w:rFonts w:ascii="微软雅黑" w:hAnsi="微软雅黑" w:eastAsia="微软雅黑"/>
          <w:color w:val="1A1A1A"/>
          <w:sz w:val="22"/>
        </w:rPr>
        <w:t>——指数虽然红盘，但高开低走且日线实体为负（开盘3935.55，收盘3942.54，实体实际运行区间有限），短期有滞涨迹象。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：收于13706.97点，较上一时段跌0.22pp，较昨日同期大幅下跌2.40pp，</w:t>
      </w:r>
      <w:r>
        <w:rPr>
          <w:rFonts w:ascii="微软雅黑" w:hAnsi="微软雅黑" w:eastAsia="微软雅黑"/>
          <w:b/>
          <w:color w:val="D29922"/>
          <w:sz w:val="22"/>
        </w:rPr>
        <w:t>趋势正在恶化</w:t>
      </w:r>
      <w:r>
        <w:rPr>
          <w:rFonts w:ascii="微软雅黑" w:hAnsi="微软雅黑" w:eastAsia="微软雅黑"/>
          <w:color w:val="1A1A1A"/>
          <w:sz w:val="22"/>
        </w:rPr>
        <w:t>。若按昨日同期对比，下跌速度加快，技术上有向13700点下方外推的风险。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：收于3360.25点，较昨日同期加速下跌4.53pp，</w:t>
      </w:r>
      <w:r>
        <w:rPr>
          <w:rFonts w:ascii="微软雅黑" w:hAnsi="微软雅黑" w:eastAsia="微软雅黑"/>
          <w:b/>
          <w:color w:val="D29922"/>
          <w:sz w:val="22"/>
        </w:rPr>
        <w:t>动能明显加速</w:t>
      </w:r>
      <w:r>
        <w:rPr>
          <w:rFonts w:ascii="微软雅黑" w:hAnsi="微软雅黑" w:eastAsia="微软雅黑"/>
          <w:color w:val="1A1A1A"/>
          <w:sz w:val="22"/>
        </w:rPr>
        <w:t>，收盘价跌破日内开盘3394点，若继续放量下破3350点则将触发止损盘。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：收于1591.48点，跌幅-1.49%，是主要指数中</w:t>
      </w:r>
      <w:r>
        <w:rPr>
          <w:rFonts w:ascii="微软雅黑" w:hAnsi="微软雅黑" w:eastAsia="微软雅黑"/>
          <w:b/>
          <w:color w:val="D29922"/>
          <w:sz w:val="22"/>
        </w:rPr>
        <w:t>最弱</w:t>
      </w:r>
      <w:r>
        <w:rPr>
          <w:rFonts w:ascii="微软雅黑" w:hAnsi="微软雅黑" w:eastAsia="微软雅黑"/>
          <w:color w:val="1A1A1A"/>
          <w:sz w:val="22"/>
        </w:rPr>
        <w:t>，较上一时段跌幅扩大0.38pp，较昨日同期下跌3.92pp。科创板自开盘后持续走低，</w:t>
      </w:r>
      <w:r>
        <w:rPr>
          <w:rFonts w:ascii="微软雅黑" w:hAnsi="微软雅黑" w:eastAsia="微软雅黑"/>
          <w:b/>
          <w:color w:val="D29922"/>
          <w:sz w:val="22"/>
        </w:rPr>
        <w:t>没有任何反击力度</w:t>
      </w:r>
      <w:r>
        <w:rPr>
          <w:rFonts w:ascii="微软雅黑" w:hAnsi="微软雅黑" w:eastAsia="微软雅黑"/>
          <w:color w:val="1A1A1A"/>
          <w:sz w:val="22"/>
        </w:rPr>
        <w:t>，属于趋势性抛压。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综合判断</w:t>
      </w:r>
      <w:r>
        <w:rPr>
          <w:rFonts w:ascii="微软雅黑" w:hAnsi="微软雅黑" w:eastAsia="微软雅黑"/>
          <w:color w:val="1A1A1A"/>
          <w:sz w:val="22"/>
        </w:rPr>
        <w:t>：上证指数处于高位横盘，但创业板/科创50已经进入</w:t>
      </w:r>
      <w:r>
        <w:rPr>
          <w:rFonts w:ascii="微软雅黑" w:hAnsi="微软雅黑" w:eastAsia="微软雅黑"/>
          <w:b/>
          <w:color w:val="D29922"/>
          <w:sz w:val="22"/>
        </w:rPr>
        <w:t>加速下跌通道</w:t>
      </w:r>
      <w:r>
        <w:rPr>
          <w:rFonts w:ascii="微软雅黑" w:hAnsi="微软雅黑" w:eastAsia="微软雅黑"/>
          <w:color w:val="1A1A1A"/>
          <w:sz w:val="22"/>
        </w:rPr>
        <w:t>，市场出现"指数窄幅震荡、结构剧烈调整"的局面。板块内部分化继续扩大，趋势反转信号尚不明显，但</w:t>
      </w:r>
      <w:r>
        <w:rPr>
          <w:rFonts w:ascii="微软雅黑" w:hAnsi="微软雅黑" w:eastAsia="微软雅黑"/>
          <w:b/>
          <w:color w:val="D29922"/>
          <w:sz w:val="22"/>
        </w:rPr>
        <w:t>中小创的结构性风险正在累积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：成交额19396亿，较上一时段放量23.6%。上证收涨但放量滞涨（涨幅仅0.25%），创业板放量下跌，</w:t>
      </w: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严重。放量下跌方向（创业板/科创50）量能更大，说明抛压主导。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资金流向</w:t>
      </w:r>
      <w:r>
        <w:rPr>
          <w:rFonts w:ascii="微软雅黑" w:hAnsi="微软雅黑" w:eastAsia="微软雅黑"/>
          <w:color w:val="1A1A1A"/>
          <w:sz w:val="22"/>
        </w:rPr>
        <w:t>：资金流样本显示大单净流出36.45亿，总资金净流出34.03亿，30只样本中仅5只流入、25只流出。</w:t>
      </w:r>
      <w:r>
        <w:rPr>
          <w:rFonts w:ascii="微软雅黑" w:hAnsi="微软雅黑" w:eastAsia="微软雅黑"/>
          <w:b/>
          <w:color w:val="D29922"/>
          <w:sz w:val="22"/>
        </w:rPr>
        <w:t>大单资金在持续撤出</w:t>
      </w:r>
      <w:r>
        <w:rPr>
          <w:rFonts w:ascii="微软雅黑" w:hAnsi="微软雅黑" w:eastAsia="微软雅黑"/>
          <w:color w:val="1A1A1A"/>
          <w:sz w:val="22"/>
        </w:rPr>
        <w:t>，与南向净买入形成互相印证——内资机构在降低A股风险敞口。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：上涨占比48.7%，恰在50%下方，市场宽度</w:t>
      </w:r>
      <w:r>
        <w:rPr>
          <w:rFonts w:ascii="微软雅黑" w:hAnsi="微软雅黑" w:eastAsia="微软雅黑"/>
          <w:b/>
          <w:color w:val="D29922"/>
          <w:sz w:val="22"/>
        </w:rPr>
        <w:t>临界偏弱</w:t>
      </w:r>
      <w:r>
        <w:rPr>
          <w:rFonts w:ascii="微软雅黑" w:hAnsi="微软雅黑" w:eastAsia="微软雅黑"/>
          <w:color w:val="1A1A1A"/>
          <w:sz w:val="22"/>
        </w:rPr>
        <w:t>。涨停仅5家、跌停4家，涨停家数稀少说明</w:t>
      </w:r>
      <w:r>
        <w:rPr>
          <w:rFonts w:ascii="微软雅黑" w:hAnsi="微软雅黑" w:eastAsia="微软雅黑"/>
          <w:b/>
          <w:color w:val="D29922"/>
          <w:sz w:val="22"/>
        </w:rPr>
        <w:t>赚钱效应极度贫乏</w:t>
      </w:r>
      <w:r>
        <w:rPr>
          <w:rFonts w:ascii="微软雅黑" w:hAnsi="微软雅黑" w:eastAsia="微软雅黑"/>
          <w:color w:val="1A1A1A"/>
          <w:sz w:val="22"/>
        </w:rPr>
        <w:t>，短线情绪进入冰点。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板块轮动速度</w:t>
      </w:r>
      <w:r>
        <w:rPr>
          <w:rFonts w:ascii="微软雅黑" w:hAnsi="微软雅黑" w:eastAsia="微软雅黑"/>
          <w:color w:val="1A1A1A"/>
          <w:sz w:val="22"/>
        </w:rPr>
        <w:t>：较上一时段领涨板块完全替换，轮动加速是</w:t>
      </w:r>
      <w:r>
        <w:rPr>
          <w:rFonts w:ascii="微软雅黑" w:hAnsi="微软雅黑" w:eastAsia="微软雅黑"/>
          <w:b/>
          <w:color w:val="D29922"/>
          <w:sz w:val="22"/>
        </w:rPr>
        <w:t>短线资金主导的市场状态</w:t>
      </w:r>
      <w:r>
        <w:rPr>
          <w:rFonts w:ascii="微软雅黑" w:hAnsi="微软雅黑" w:eastAsia="微软雅黑"/>
          <w:color w:val="1A1A1A"/>
          <w:sz w:val="22"/>
        </w:rPr>
        <w:t>，持续性差，追涨风险高。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龙虎榜信号</w:t>
      </w:r>
      <w:r>
        <w:rPr>
          <w:rFonts w:ascii="微软雅黑" w:hAnsi="微软雅黑" w:eastAsia="微软雅黑"/>
          <w:color w:val="1A1A1A"/>
          <w:sz w:val="22"/>
        </w:rPr>
        <w:t>：跌幅榜出现摩尔线程（-20%）、C天博（-16.14%）等科技股重挫，而涨幅榜多为农业资源股（川金诺、新安、华昌化工等）。</w:t>
      </w:r>
      <w:r>
        <w:rPr>
          <w:rFonts w:ascii="微软雅黑" w:hAnsi="微软雅黑" w:eastAsia="微软雅黑"/>
          <w:b/>
          <w:color w:val="D29922"/>
          <w:sz w:val="22"/>
        </w:rPr>
        <w:t>资金正在从高位科技股向低位周期股迁移</w:t>
      </w:r>
      <w:r>
        <w:rPr>
          <w:rFonts w:ascii="微软雅黑" w:hAnsi="微软雅黑" w:eastAsia="微软雅黑"/>
          <w:color w:val="1A1A1A"/>
          <w:sz w:val="22"/>
        </w:rPr>
        <w:t>，这是典型的防御性调仓行为。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物价层面</w:t>
      </w:r>
      <w:r>
        <w:rPr>
          <w:rFonts w:ascii="微软雅黑" w:hAnsi="微软雅黑" w:eastAsia="微软雅黑"/>
          <w:color w:val="1A1A1A"/>
          <w:sz w:val="22"/>
        </w:rPr>
        <w:t>：CPI同比+0.5%（前值1.0%），核心CPI+0.9%，整体通胀温和但趋势走弱；PPI同比+3.5%（前值4.1%），工业品价格回落。两者叠加形成</w:t>
      </w:r>
      <w:r>
        <w:rPr>
          <w:rFonts w:ascii="微软雅黑" w:hAnsi="微软雅黑" w:eastAsia="微软雅黑"/>
          <w:b/>
          <w:color w:val="D29922"/>
          <w:sz w:val="22"/>
        </w:rPr>
        <w:t>"上游不涨、下游不旺"</w:t>
      </w:r>
      <w:r>
        <w:rPr>
          <w:rFonts w:ascii="微软雅黑" w:hAnsi="微软雅黑" w:eastAsia="微软雅黑"/>
          <w:color w:val="1A1A1A"/>
          <w:sz w:val="22"/>
        </w:rPr>
        <w:t>的宏观环境，对成长股估值形成压制。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景气层面</w:t>
      </w:r>
      <w:r>
        <w:rPr>
          <w:rFonts w:ascii="微软雅黑" w:hAnsi="微软雅黑" w:eastAsia="微软雅黑"/>
          <w:color w:val="1A1A1A"/>
          <w:sz w:val="22"/>
        </w:rPr>
        <w:t>：制造业PMI仅49.2%，</w:t>
      </w:r>
      <w:r>
        <w:rPr>
          <w:rFonts w:ascii="微软雅黑" w:hAnsi="微软雅黑" w:eastAsia="微软雅黑"/>
          <w:b/>
          <w:color w:val="D29922"/>
          <w:sz w:val="22"/>
        </w:rPr>
        <w:t>跌破荣枯线</w:t>
      </w:r>
      <w:r>
        <w:rPr>
          <w:rFonts w:ascii="微软雅黑" w:hAnsi="微软雅黑" w:eastAsia="微软雅黑"/>
          <w:color w:val="1A1A1A"/>
          <w:sz w:val="22"/>
        </w:rPr>
        <w:t>，服务业PMI亦回落至49.3%。经济内生动能偏弱，市场缺乏中长线做多科技成长的逻辑支撑。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流动性层面</w:t>
      </w:r>
      <w:r>
        <w:rPr>
          <w:rFonts w:ascii="微软雅黑" w:hAnsi="微软雅黑" w:eastAsia="微软雅黑"/>
          <w:color w:val="1A1A1A"/>
          <w:sz w:val="22"/>
        </w:rPr>
        <w:t>：M2同比+8.0%，M1同比+4.0%，社融增量同比少增8606亿元，</w:t>
      </w:r>
      <w:r>
        <w:rPr>
          <w:rFonts w:ascii="微软雅黑" w:hAnsi="微软雅黑" w:eastAsia="微软雅黑"/>
          <w:b/>
          <w:color w:val="D29922"/>
          <w:sz w:val="22"/>
        </w:rPr>
        <w:t>信贷扩张意愿不足</w:t>
      </w:r>
      <w:r>
        <w:rPr>
          <w:rFonts w:ascii="微软雅黑" w:hAnsi="微软雅黑" w:eastAsia="微软雅黑"/>
          <w:color w:val="1A1A1A"/>
          <w:sz w:val="22"/>
        </w:rPr>
        <w:t>。LPR连续14个月维持不变（1年期3.0%、5年期3.5%），政策保持定力，没有超预期的宽松信号。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境外联动</w:t>
      </w:r>
      <w:r>
        <w:rPr>
          <w:rFonts w:ascii="微软雅黑" w:hAnsi="微软雅黑" w:eastAsia="微软雅黑"/>
          <w:color w:val="1A1A1A"/>
          <w:sz w:val="22"/>
        </w:rPr>
        <w:t>：欧股道琼斯、纳斯达克同步走弱，LME铜价上涨0.59%，WTI原油持稳于94美元/桶上方，</w:t>
      </w:r>
      <w:r>
        <w:rPr>
          <w:rFonts w:ascii="微软雅黑" w:hAnsi="微软雅黑" w:eastAsia="微软雅黑"/>
          <w:b/>
          <w:color w:val="D29922"/>
          <w:sz w:val="22"/>
        </w:rPr>
        <w:t>全球风险资产整体偏谨慎</w:t>
      </w:r>
      <w:r>
        <w:rPr>
          <w:rFonts w:ascii="微软雅黑" w:hAnsi="微软雅黑" w:eastAsia="微软雅黑"/>
          <w:color w:val="1A1A1A"/>
          <w:sz w:val="22"/>
        </w:rPr>
        <w:t>，有色金属相对较强但不足以拉动整体情绪。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成长股踩踏风险</w:t>
      </w:r>
      <w:r>
        <w:rPr>
          <w:rFonts w:ascii="微软雅黑" w:hAnsi="微软雅黑" w:eastAsia="微软雅黑"/>
          <w:color w:val="1A1A1A"/>
          <w:sz w:val="22"/>
        </w:rPr>
        <w:t>：创业板指较昨日同期加速下跌4.53pp，科创50加速下跌3.92pp，若明日开盘继续低开且量能无法有效萎缩，将触发更多趋势止损盘，</w:t>
      </w:r>
      <w:r>
        <w:rPr>
          <w:rFonts w:ascii="微软雅黑" w:hAnsi="微软雅黑" w:eastAsia="微软雅黑"/>
          <w:b/>
          <w:color w:val="D29922"/>
          <w:sz w:val="22"/>
        </w:rPr>
        <w:t>需警惕踩踏式下跌</w:t>
      </w:r>
      <w:r>
        <w:rPr>
          <w:rFonts w:ascii="微软雅黑" w:hAnsi="微软雅黑" w:eastAsia="微软雅黑"/>
          <w:color w:val="1A1A1A"/>
          <w:sz w:val="22"/>
        </w:rPr>
        <w:t>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板块轮动过快风险</w:t>
      </w:r>
      <w:r>
        <w:rPr>
          <w:rFonts w:ascii="微软雅黑" w:hAnsi="微软雅黑" w:eastAsia="微软雅黑"/>
          <w:color w:val="1A1A1A"/>
          <w:sz w:val="22"/>
        </w:rPr>
        <w:t>：领涨板块一日一换，昨日领涨的次新股今日已领跌，</w:t>
      </w:r>
      <w:r>
        <w:rPr>
          <w:rFonts w:ascii="微软雅黑" w:hAnsi="微软雅黑" w:eastAsia="微软雅黑"/>
          <w:b/>
          <w:color w:val="D29922"/>
          <w:sz w:val="22"/>
        </w:rPr>
        <w:t>追涨容错率极低</w:t>
      </w:r>
      <w:r>
        <w:rPr>
          <w:rFonts w:ascii="微软雅黑" w:hAnsi="微软雅黑" w:eastAsia="微软雅黑"/>
          <w:color w:val="1A1A1A"/>
          <w:sz w:val="22"/>
        </w:rPr>
        <w:t>，短线操作难度大。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南向资金大幅净流入的内资情绪转弱信号</w:t>
      </w:r>
      <w:r>
        <w:rPr>
          <w:rFonts w:ascii="微软雅黑" w:hAnsi="微软雅黑" w:eastAsia="微软雅黑"/>
          <w:color w:val="1A1A1A"/>
          <w:sz w:val="22"/>
        </w:rPr>
        <w:t>：58.9亿净买入是较昨日同期大幅增加，</w:t>
      </w:r>
      <w:r>
        <w:rPr>
          <w:rFonts w:ascii="微软雅黑" w:hAnsi="微软雅黑" w:eastAsia="微软雅黑"/>
          <w:b/>
          <w:color w:val="D29922"/>
          <w:sz w:val="22"/>
        </w:rPr>
        <w:t>A股内资风险偏好正在下降</w:t>
      </w:r>
      <w:r>
        <w:rPr>
          <w:rFonts w:ascii="微软雅黑" w:hAnsi="微软雅黑" w:eastAsia="微软雅黑"/>
          <w:color w:val="1A1A1A"/>
          <w:sz w:val="22"/>
        </w:rPr>
        <w:t>，需关注后续是否持续净流入。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成交额放量与指数分化并存</w:t>
      </w:r>
      <w:r>
        <w:rPr>
          <w:rFonts w:ascii="微软雅黑" w:hAnsi="微软雅黑" w:eastAsia="微软雅黑"/>
          <w:color w:val="1A1A1A"/>
          <w:sz w:val="22"/>
        </w:rPr>
        <w:t>：放量滞涨与放量下跌同时存在，说明市场正在经历</w:t>
      </w:r>
      <w:r>
        <w:rPr>
          <w:rFonts w:ascii="微软雅黑" w:hAnsi="微软雅黑" w:eastAsia="微软雅黑"/>
          <w:b/>
          <w:color w:val="D29922"/>
          <w:sz w:val="22"/>
        </w:rPr>
        <w:t>存量博弈下的调仓换股</w:t>
      </w:r>
      <w:r>
        <w:rPr>
          <w:rFonts w:ascii="微软雅黑" w:hAnsi="微软雅黑" w:eastAsia="微软雅黑"/>
          <w:color w:val="1A1A1A"/>
          <w:sz w:val="22"/>
        </w:rPr>
        <w:t>，一旦调仓结束，指数方向将明朗，但在此之前波动会加剧。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风险方向</w:t>
      </w:r>
      <w:r>
        <w:rPr>
          <w:rFonts w:ascii="微软雅黑" w:hAnsi="微软雅黑" w:eastAsia="微软雅黑"/>
          <w:color w:val="1A1A1A"/>
          <w:sz w:val="22"/>
        </w:rPr>
        <w:t>：高估值科技股（半导体、电子器件、AI算力）仍处于资金流出通道，估值消化压力尚未释放完毕。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免责声明</w:t>
      </w:r>
      <w:r>
        <w:rPr>
          <w:rFonts w:ascii="微软雅黑" w:hAnsi="微软雅黑" w:eastAsia="微软雅黑"/>
          <w:color w:val="1A1A1A"/>
          <w:sz w:val="22"/>
        </w:rPr>
        <w:t>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