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3986.10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14015.00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3438.68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1684.39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4624.92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7951.91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 0.12%（26370.89），跌幅温和，对 A 股开盘偏向中性略偏弱，但传导力有限——当前 A 股定价重心早已从"跟随外盘"切换至"内盘宏观与政策博弈"。富时 A50 期货数据缺失，无法直接确认外资盘前方向，建议开盘前 30 分钟以恒生科技指数、离岸人民币（CNH）作为替代性风向标：若二者同步走强，则外资风险偏好回暖，A 股高开概率上升；若 CNH 贬值叠加港股低开，则需警惕权重股开盘承压。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需特别指出，昨日领涨板块"船舶制造、玻璃行业、传媒娱乐"在隔夜无对应美股映射强化，纳指盘面以科技权重微跌为主，A 股开盘大概率延续内资主导的题材轮动节奏，而非跟随外盘补涨。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本时段核心变化是：指数全部横盘、但板块结构经历"快速轮动+完全替换"，这是典型的存量博弈衰竭形态——赚钱效应无法沉淀为趋势，只能靠热点快速切换维持局部温度。从对比数据看，上证较上一时段 -0.01%（加速下跌），深成指/创业板/中证500 均较上一时段涨势放缓，而较昨日同期则全面横盘：这说明指数层面已是"动能衰竭"，但尚未出现"趋势反转"信号。领涨板块从昨日同期的"房地产服务、房产租赁经纪、视频媒体"完全替换为"船舶制造、玻璃行业、传媒娱乐"，板块持续性不足 24 小时，短线风险偏好虽在，但配置盘的衔接意愿极低。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今日真正需要盯的核心矛盾是"宏观错配"：CPI 大幅回落至 0.5%（前值 1.0%）、核心 CPI 仅 0.9%，而 PPI 仍高达 3.5%，PPI-CPI 剪刀差重新扩大，意味着上游价格传导路径依然断裂——这一组合通常压制中下游制造业毛利率，结合 7 月制造业 PMI 49.2 已在荣枯线下，基本面对顺周期、消费、地产链均构成压力。但眼下盘面却在拉"船舶、玻璃"等偏制造与涨价逻辑的品种，这属于典型的口径炒作而非宏观印证，需警惕今日冲高回落。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流动性层面无增量入场信号：M2 同比 8.0%、社融存量增速 7.4%、LPR 连续 14 个月不动，叠加商业银行净息差 1.4%历史低位，货币端"宽而不松"特征明确。今日需观察成交额：若沪市早盘前 30 分钟成交额低于昨日同期 15% 以上，且上涨家数/下跌家数之比快速回落至 1 以下，则指数横盘将被向下打破。关键位置可参考上证 3300 整数关口的虚假共振：若放量跌破，昨日横盘结构失效；若缩量回踩不破，则维持震荡，但板块轮动已进入末端阶段，切勿追高昨日领涨方向。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