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股量化报告 — 收盘报告</w:t>
      </w:r>
    </w:p>
    <w:p>
      <w:pPr>
        <w:jc w:val="center"/>
      </w:pPr>
      <w:r>
        <w:rPr>
          <w:color w:val="8B949E"/>
          <w:sz w:val="20"/>
        </w:rPr>
        <w:t>2026-07-31  |  模型: DeepSeek  |  量化交易视角</w:t>
      </w:r>
    </w:p>
    <w:p>
      <w:pPr>
        <w:pStyle w:val="Heading2"/>
      </w:pPr>
      <w:r>
        <w:t>核心指标速览</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指数</w:t>
            </w:r>
          </w:p>
        </w:tc>
        <w:tc>
          <w:tcPr>
            <w:tcW w:type="dxa" w:w="2160"/>
          </w:tcPr>
          <w:p>
            <w:r>
              <w:t>点位</w:t>
            </w:r>
          </w:p>
        </w:tc>
        <w:tc>
          <w:tcPr>
            <w:tcW w:type="dxa" w:w="2160"/>
          </w:tcPr>
          <w:p>
            <w:r>
              <w:t>涨跌幅</w:t>
            </w:r>
          </w:p>
        </w:tc>
        <w:tc>
          <w:tcPr>
            <w:tcW w:type="dxa" w:w="2160"/>
          </w:tcPr>
          <w:p>
            <w:r/>
          </w:p>
        </w:tc>
      </w:tr>
      <w:tr>
        <w:tc>
          <w:tcPr>
            <w:tcW w:type="dxa" w:w="2160"/>
          </w:tcPr>
          <w:p>
            <w:r>
              <w:t>上证指数</w:t>
            </w:r>
          </w:p>
        </w:tc>
        <w:tc>
          <w:tcPr>
            <w:tcW w:type="dxa" w:w="2160"/>
          </w:tcPr>
          <w:p>
            <w:r>
              <w:t>3832.52</w:t>
            </w:r>
          </w:p>
        </w:tc>
        <w:tc>
          <w:tcPr>
            <w:tcW w:type="dxa" w:w="2160"/>
          </w:tcPr>
          <w:p>
            <w:r>
              <w:t>+0.73%</w:t>
            </w:r>
          </w:p>
        </w:tc>
        <w:tc>
          <w:tcPr>
            <w:tcW w:type="dxa" w:w="2160"/>
          </w:tcPr>
          <w:p>
            <w:r/>
          </w:p>
        </w:tc>
      </w:tr>
      <w:tr>
        <w:tc>
          <w:tcPr>
            <w:tcW w:type="dxa" w:w="2160"/>
          </w:tcPr>
          <w:p>
            <w:r>
              <w:t>深证成指</w:t>
            </w:r>
          </w:p>
        </w:tc>
        <w:tc>
          <w:tcPr>
            <w:tcW w:type="dxa" w:w="2160"/>
          </w:tcPr>
          <w:p>
            <w:r>
              <w:t>13691.94</w:t>
            </w:r>
          </w:p>
        </w:tc>
        <w:tc>
          <w:tcPr>
            <w:tcW w:type="dxa" w:w="2160"/>
          </w:tcPr>
          <w:p>
            <w:r>
              <w:t>+3.06%</w:t>
            </w:r>
          </w:p>
        </w:tc>
        <w:tc>
          <w:tcPr>
            <w:tcW w:type="dxa" w:w="2160"/>
          </w:tcPr>
          <w:p>
            <w:r/>
          </w:p>
        </w:tc>
      </w:tr>
      <w:tr>
        <w:tc>
          <w:tcPr>
            <w:tcW w:type="dxa" w:w="2160"/>
          </w:tcPr>
          <w:p>
            <w:r>
              <w:t>创业板指</w:t>
            </w:r>
          </w:p>
        </w:tc>
        <w:tc>
          <w:tcPr>
            <w:tcW w:type="dxa" w:w="2160"/>
          </w:tcPr>
          <w:p>
            <w:r>
              <w:t>3398.06</w:t>
            </w:r>
          </w:p>
        </w:tc>
        <w:tc>
          <w:tcPr>
            <w:tcW w:type="dxa" w:w="2160"/>
          </w:tcPr>
          <w:p>
            <w:r>
              <w:t>+4.73%</w:t>
            </w:r>
          </w:p>
        </w:tc>
        <w:tc>
          <w:tcPr>
            <w:tcW w:type="dxa" w:w="2160"/>
          </w:tcPr>
          <w:p>
            <w:r/>
          </w:p>
        </w:tc>
      </w:tr>
      <w:tr>
        <w:tc>
          <w:tcPr>
            <w:tcW w:type="dxa" w:w="2160"/>
          </w:tcPr>
          <w:p>
            <w:r>
              <w:t>科创50</w:t>
            </w:r>
          </w:p>
        </w:tc>
        <w:tc>
          <w:tcPr>
            <w:tcW w:type="dxa" w:w="2160"/>
          </w:tcPr>
          <w:p>
            <w:r>
              <w:t>1675.53</w:t>
            </w:r>
          </w:p>
        </w:tc>
        <w:tc>
          <w:tcPr>
            <w:tcW w:type="dxa" w:w="2160"/>
          </w:tcPr>
          <w:p>
            <w:r>
              <w:t>+5.48%</w:t>
            </w:r>
          </w:p>
        </w:tc>
        <w:tc>
          <w:tcPr>
            <w:tcW w:type="dxa" w:w="2160"/>
          </w:tcPr>
          <w:p>
            <w:r/>
          </w:p>
        </w:tc>
      </w:tr>
      <w:tr>
        <w:tc>
          <w:tcPr>
            <w:tcW w:type="dxa" w:w="2160"/>
          </w:tcPr>
          <w:p>
            <w:r>
              <w:t>沪深300</w:t>
            </w:r>
          </w:p>
        </w:tc>
        <w:tc>
          <w:tcPr>
            <w:tcW w:type="dxa" w:w="2160"/>
          </w:tcPr>
          <w:p>
            <w:r>
              <w:t>4601.72</w:t>
            </w:r>
          </w:p>
        </w:tc>
        <w:tc>
          <w:tcPr>
            <w:tcW w:type="dxa" w:w="2160"/>
          </w:tcPr>
          <w:p>
            <w:r>
              <w:t>+1.14%</w:t>
            </w:r>
          </w:p>
        </w:tc>
        <w:tc>
          <w:tcPr>
            <w:tcW w:type="dxa" w:w="2160"/>
          </w:tcPr>
          <w:p>
            <w:r/>
          </w:p>
        </w:tc>
      </w:tr>
      <w:tr>
        <w:tc>
          <w:tcPr>
            <w:tcW w:type="dxa" w:w="2160"/>
          </w:tcPr>
          <w:p>
            <w:r>
              <w:t>中证500</w:t>
            </w:r>
          </w:p>
        </w:tc>
        <w:tc>
          <w:tcPr>
            <w:tcW w:type="dxa" w:w="2160"/>
          </w:tcPr>
          <w:p>
            <w:r>
              <w:t>7560.01</w:t>
            </w:r>
          </w:p>
        </w:tc>
        <w:tc>
          <w:tcPr>
            <w:tcW w:type="dxa" w:w="2160"/>
          </w:tcPr>
          <w:p>
            <w:r>
              <w:t>+3.43%</w:t>
            </w:r>
          </w:p>
        </w:tc>
        <w:tc>
          <w:tcPr>
            <w:tcW w:type="dxa" w:w="2160"/>
          </w:tcPr>
          <w:p>
            <w:r/>
          </w:p>
        </w:tc>
      </w:tr>
    </w:tbl>
    <w:p/>
    <w:p>
      <w:r>
        <w:rPr>
          <w:b/>
        </w:rPr>
        <w:t>北向资金：净流出 30.68 亿</w:t>
      </w:r>
      <w:r>
        <w:t xml:space="preserve">  |  沪股通 -9.28 亿  |  数据源: hexin</w:t>
      </w:r>
    </w:p>
    <w:p>
      <w:r>
        <w:rPr>
          <w:b/>
        </w:rPr>
        <w:t>大资金方向（替代两融）：</w:t>
      </w:r>
      <w:r>
        <w:t>30 股聚合净流入 109.82 亿  |  大单净 110.09 亿  |  涨家 25 / 跌家 5</w:t>
      </w:r>
      <w:r>
        <w:rPr>
          <w:color w:val="8B949E"/>
          <w:sz w:val="18"/>
        </w:rPr>
        <w:br/>
        <w:t>注：数据来自新浪资金流（大单/特大单估算），非融资融券官方数据，仅供参考大资金方向</w:t>
      </w:r>
    </w:p>
    <w:p>
      <w:r>
        <w:rPr>
          <w:b/>
        </w:rPr>
        <w:t>宏观数据：</w:t>
      </w:r>
      <w:r>
        <w:t>CPI 1.0%  |  PPI 4.1%  |  PMI 50.3  |  M2 8.0%  |  LPR 1Y 3.0%</w:t>
      </w:r>
    </w:p>
    <w:p/>
    <w:p>
      <w:pPr>
        <w:pStyle w:val="Heading2"/>
      </w:pPr>
      <w:r>
        <w:t>量化分析</w:t>
      </w:r>
    </w:p>
    <w:p>
      <w:pPr>
        <w:spacing w:after="120"/>
      </w:pPr>
      <w:r>
        <w:rPr>
          <w:rFonts w:ascii="微软雅黑" w:hAnsi="微软雅黑" w:eastAsia="微软雅黑"/>
          <w:color w:val="1A1A1A"/>
          <w:sz w:val="22"/>
        </w:rPr>
        <w:t>各位投资者，收盘愉快。</w:t>
      </w:r>
    </w:p>
    <w:p>
      <w:pPr>
        <w:pStyle w:val="Heading2"/>
      </w:pPr>
      <w:r>
        <w:rPr>
          <w:rFonts w:ascii="微软雅黑" w:hAnsi="微软雅黑" w:eastAsia="微软雅黑"/>
          <w:color w:val="1A1A1A"/>
          <w:sz w:val="22"/>
        </w:rPr>
        <w:t>一、市场概览</w:t>
      </w:r>
    </w:p>
    <w:p>
      <w:pPr>
        <w:spacing w:after="120"/>
      </w:pPr>
      <w:r>
        <w:rPr>
          <w:rFonts w:ascii="微软雅黑" w:hAnsi="微软雅黑" w:eastAsia="微软雅黑"/>
          <w:color w:val="1A1A1A"/>
          <w:sz w:val="22"/>
        </w:rPr>
        <w:t>今日市场呈现典型的“大弱小强、科技狂欢”格局。在权重板块压盘的背景下，双创指数爆发，尤其是创业板与科创板，涨幅惊人。全市场超94%的个股收红，涨停家数破百，赚钱效应被推升至罕见高位，是典型的情绪与资金共振日。</w:t>
      </w:r>
    </w:p>
    <w:p>
      <w:pPr>
        <w:pStyle w:val="Heading2"/>
      </w:pPr>
      <w:r>
        <w:rPr>
          <w:rFonts w:ascii="微软雅黑" w:hAnsi="微软雅黑" w:eastAsia="微软雅黑"/>
          <w:color w:val="1A1A1A"/>
          <w:sz w:val="22"/>
        </w:rPr>
        <w:t>二、核心指标</w:t>
      </w:r>
    </w:p>
    <w:p>
      <w:pPr>
        <w:spacing w:after="120"/>
      </w:pPr>
      <w:r>
        <w:rPr>
          <w:rFonts w:ascii="微软雅黑" w:hAnsi="微软雅黑" w:eastAsia="微软雅黑"/>
          <w:color w:val="1A1A1A"/>
          <w:sz w:val="22"/>
        </w:rPr>
        <w:t>今日盘面量化数据如下，揭示市场极端乐观情绪：</w:t>
      </w:r>
    </w:p>
    <w:p>
      <w:pPr>
        <w:pStyle w:val="ListBullet"/>
        <w:spacing w:after="40"/>
      </w:pPr>
      <w:r>
        <w:rPr>
          <w:rFonts w:ascii="微软雅黑" w:hAnsi="微软雅黑" w:eastAsia="微软雅黑"/>
          <w:b/>
          <w:color w:val="D29922"/>
          <w:sz w:val="22"/>
        </w:rPr>
        <w:t>涨跌比</w:t>
      </w:r>
      <w:r>
        <w:rPr>
          <w:rFonts w:ascii="微软雅黑" w:hAnsi="微软雅黑" w:eastAsia="微软雅黑"/>
          <w:color w:val="1A1A1A"/>
          <w:sz w:val="22"/>
        </w:rPr>
        <w:t>：上涨946家，下跌仅49家，涨跌比高达19.3:1。市场宽度达到极致水平，表明多头力量占据绝对主导。</w:t>
      </w:r>
    </w:p>
    <w:p>
      <w:pPr>
        <w:pStyle w:val="ListBullet"/>
        <w:spacing w:after="40"/>
      </w:pPr>
      <w:r>
        <w:rPr>
          <w:rFonts w:ascii="微软雅黑" w:hAnsi="微软雅黑" w:eastAsia="微软雅黑"/>
          <w:b/>
          <w:color w:val="D29922"/>
          <w:sz w:val="22"/>
        </w:rPr>
        <w:t>成交额</w:t>
      </w:r>
      <w:r>
        <w:rPr>
          <w:rFonts w:ascii="微软雅黑" w:hAnsi="微软雅黑" w:eastAsia="微软雅黑"/>
          <w:color w:val="1A1A1A"/>
          <w:sz w:val="22"/>
        </w:rPr>
        <w:t>：总成交额16581.0亿元。虽较市场极端亢奋时的2万亿+仍有距离，但足以支撑多点开花的热点行情。量能温和放大，未现天量失控。</w:t>
      </w:r>
    </w:p>
    <w:p>
      <w:pPr>
        <w:pStyle w:val="ListBullet"/>
        <w:spacing w:after="40"/>
      </w:pPr>
      <w:r>
        <w:rPr>
          <w:rFonts w:ascii="微软雅黑" w:hAnsi="微软雅黑" w:eastAsia="微软雅黑"/>
          <w:b/>
          <w:color w:val="D29922"/>
          <w:sz w:val="22"/>
        </w:rPr>
        <w:t>北向资金</w:t>
      </w:r>
      <w:r>
        <w:rPr>
          <w:rFonts w:ascii="微软雅黑" w:hAnsi="微软雅黑" w:eastAsia="微软雅黑"/>
          <w:color w:val="1A1A1A"/>
          <w:sz w:val="22"/>
        </w:rPr>
        <w:t>：全日净流出30.68亿元。与指数的大涨形成背离，表明今日行情主要由内资主导，外资表现犹豫，这是一个需要警惕的背离信号。</w:t>
      </w:r>
    </w:p>
    <w:p>
      <w:pPr>
        <w:pStyle w:val="Heading2"/>
      </w:pPr>
      <w:r>
        <w:rPr>
          <w:rFonts w:ascii="微软雅黑" w:hAnsi="微软雅黑" w:eastAsia="微软雅黑"/>
          <w:color w:val="1A1A1A"/>
          <w:sz w:val="22"/>
        </w:rPr>
        <w:t>三、板块热点</w:t>
      </w:r>
    </w:p>
    <w:p>
      <w:pPr>
        <w:spacing w:after="120"/>
      </w:pPr>
      <w:r>
        <w:rPr>
          <w:rFonts w:ascii="微软雅黑" w:hAnsi="微软雅黑" w:eastAsia="微软雅黑"/>
          <w:color w:val="1A1A1A"/>
          <w:sz w:val="22"/>
        </w:rPr>
        <w:t>市场结构极度分化，科技成长是唯一主线，传统权重板块则成为血包。</w:t>
      </w:r>
    </w:p>
    <w:p>
      <w:pPr>
        <w:pStyle w:val="ListBullet"/>
        <w:spacing w:after="40"/>
      </w:pPr>
      <w:r>
        <w:rPr>
          <w:rFonts w:ascii="微软雅黑" w:hAnsi="微软雅黑" w:eastAsia="微软雅黑"/>
          <w:b/>
          <w:color w:val="D29922"/>
          <w:sz w:val="22"/>
        </w:rPr>
        <w:t>领涨板块</w:t>
      </w:r>
      <w:r>
        <w:rPr>
          <w:rFonts w:ascii="微软雅黑" w:hAnsi="微软雅黑" w:eastAsia="微软雅黑"/>
          <w:color w:val="1A1A1A"/>
          <w:sz w:val="22"/>
        </w:rPr>
        <w:t>：</w:t>
      </w:r>
      <w:r>
        <w:rPr>
          <w:rFonts w:ascii="微软雅黑" w:hAnsi="微软雅黑" w:eastAsia="微软雅黑"/>
          <w:b/>
          <w:color w:val="D29922"/>
          <w:sz w:val="22"/>
        </w:rPr>
        <w:t>次新股（+4.08%）</w:t>
      </w:r>
      <w:r>
        <w:rPr>
          <w:rFonts w:ascii="微软雅黑" w:hAnsi="微软雅黑" w:eastAsia="微软雅黑"/>
          <w:color w:val="1A1A1A"/>
          <w:sz w:val="22"/>
        </w:rPr>
        <w:t>领涨全市场，与科创板和创业板的强势形成共振，表明市场风险偏好急剧升温。紧随其后的</w:t>
      </w:r>
      <w:r>
        <w:rPr>
          <w:rFonts w:ascii="微软雅黑" w:hAnsi="微软雅黑" w:eastAsia="微软雅黑"/>
          <w:b/>
          <w:color w:val="D29922"/>
          <w:sz w:val="22"/>
        </w:rPr>
        <w:t>电子器件、电子信息</w:t>
      </w:r>
      <w:r>
        <w:rPr>
          <w:rFonts w:ascii="微软雅黑" w:hAnsi="微软雅黑" w:eastAsia="微软雅黑"/>
          <w:color w:val="1A1A1A"/>
          <w:sz w:val="22"/>
        </w:rPr>
        <w:t>板块，是今日科技行情的发动机。其中，多只AI应用、国产软件概念股站上涨停板，显示资金围绕前沿科技概念集中攻击。</w:t>
      </w:r>
    </w:p>
    <w:p>
      <w:pPr>
        <w:pStyle w:val="ListBullet"/>
        <w:spacing w:after="40"/>
      </w:pPr>
      <w:r>
        <w:rPr>
          <w:rFonts w:ascii="微软雅黑" w:hAnsi="微软雅黑" w:eastAsia="微软雅黑"/>
          <w:b/>
          <w:color w:val="D29922"/>
          <w:sz w:val="22"/>
        </w:rPr>
        <w:t>领跌板块</w:t>
      </w:r>
      <w:r>
        <w:rPr>
          <w:rFonts w:ascii="微软雅黑" w:hAnsi="微软雅黑" w:eastAsia="微软雅黑"/>
          <w:color w:val="1A1A1A"/>
          <w:sz w:val="22"/>
        </w:rPr>
        <w:t>：</w:t>
      </w:r>
      <w:r>
        <w:rPr>
          <w:rFonts w:ascii="微软雅黑" w:hAnsi="微软雅黑" w:eastAsia="微软雅黑"/>
          <w:b/>
          <w:color w:val="D29922"/>
          <w:sz w:val="22"/>
        </w:rPr>
        <w:t>酿酒行业（-0.78%）</w:t>
      </w:r>
      <w:r>
        <w:rPr>
          <w:rFonts w:ascii="微软雅黑" w:hAnsi="微软雅黑" w:eastAsia="微软雅黑"/>
          <w:color w:val="1A1A1A"/>
          <w:sz w:val="22"/>
        </w:rPr>
        <w:t>和</w:t>
      </w:r>
      <w:r>
        <w:rPr>
          <w:rFonts w:ascii="微软雅黑" w:hAnsi="微软雅黑" w:eastAsia="微软雅黑"/>
          <w:b/>
          <w:color w:val="D29922"/>
          <w:sz w:val="22"/>
        </w:rPr>
        <w:t>金融行业（-0.11%）</w:t>
      </w:r>
      <w:r>
        <w:rPr>
          <w:rFonts w:ascii="微软雅黑" w:hAnsi="微软雅黑" w:eastAsia="微软雅黑"/>
          <w:color w:val="1A1A1A"/>
          <w:sz w:val="22"/>
        </w:rPr>
        <w:t>是仅有的两个收跌板块。这清晰地勾勒出今日的资金路径：从传统蓝筹中抽离，全线涌入高贝塔的科技成长股。</w:t>
      </w:r>
    </w:p>
    <w:p>
      <w:pPr>
        <w:pStyle w:val="Heading2"/>
      </w:pPr>
      <w:r>
        <w:rPr>
          <w:rFonts w:ascii="微软雅黑" w:hAnsi="微软雅黑" w:eastAsia="微软雅黑"/>
          <w:color w:val="1A1A1A"/>
          <w:sz w:val="22"/>
        </w:rPr>
        <w:t>四、技术信号</w:t>
      </w:r>
    </w:p>
    <w:p>
      <w:pPr>
        <w:spacing w:after="120"/>
      </w:pPr>
      <w:r>
        <w:rPr>
          <w:rFonts w:ascii="微软雅黑" w:hAnsi="微软雅黑" w:eastAsia="微软雅黑"/>
          <w:color w:val="1A1A1A"/>
          <w:sz w:val="22"/>
        </w:rPr>
        <w:t>主要指数技术形态呈现攻击姿态，双创指数最为凌厉：</w:t>
      </w:r>
    </w:p>
    <w:p>
      <w:pPr>
        <w:pStyle w:val="ListBullet"/>
        <w:spacing w:after="40"/>
      </w:pPr>
      <w:r>
        <w:rPr>
          <w:rFonts w:ascii="微软雅黑" w:hAnsi="微软雅黑" w:eastAsia="微软雅黑"/>
          <w:b/>
          <w:color w:val="D29922"/>
          <w:sz w:val="22"/>
        </w:rPr>
        <w:t>创业板指</w:t>
      </w:r>
      <w:r>
        <w:rPr>
          <w:rFonts w:ascii="微软雅黑" w:hAnsi="微软雅黑" w:eastAsia="微软雅黑"/>
          <w:color w:val="1A1A1A"/>
          <w:sz w:val="22"/>
        </w:rPr>
        <w:t>：今日大涨4.73%，以一根光头光脚巨阳线，强势突破并站上所有短期与中长期均线系统。结合量能，属于有效突破。日线MACD金叉后红柱急剧放大，DIF/DEA开口加速向上。RSI与KDJ均进入强势区域，但尚未触及极端超买区，短期内仍具备惯性上冲动能。</w:t>
      </w:r>
    </w:p>
    <w:p>
      <w:pPr>
        <w:pStyle w:val="ListBullet"/>
        <w:spacing w:after="40"/>
      </w:pPr>
      <w:r>
        <w:rPr>
          <w:rFonts w:ascii="微软雅黑" w:hAnsi="微软雅黑" w:eastAsia="微软雅黑"/>
          <w:b/>
          <w:color w:val="D29922"/>
          <w:sz w:val="22"/>
        </w:rPr>
        <w:t>科创50</w:t>
      </w:r>
      <w:r>
        <w:rPr>
          <w:rFonts w:ascii="微软雅黑" w:hAnsi="微软雅黑" w:eastAsia="微软雅黑"/>
          <w:color w:val="1A1A1A"/>
          <w:sz w:val="22"/>
        </w:rPr>
        <w:t>：涨幅达5.48%，一阳穿多线，突破了近期的底部震荡箱体，技术上形成“破底翻”的看涨结构。量价配合理想，是当前市场的最强指数，信号最为积极。</w:t>
      </w:r>
    </w:p>
    <w:p>
      <w:pPr>
        <w:pStyle w:val="ListBullet"/>
        <w:spacing w:after="40"/>
      </w:pPr>
      <w:r>
        <w:rPr>
          <w:rFonts w:ascii="微软雅黑" w:hAnsi="微软雅黑" w:eastAsia="微软雅黑"/>
          <w:b/>
          <w:color w:val="D29922"/>
          <w:sz w:val="22"/>
        </w:rPr>
        <w:t>沪深300</w:t>
      </w:r>
      <w:r>
        <w:rPr>
          <w:rFonts w:ascii="微软雅黑" w:hAnsi="微软雅黑" w:eastAsia="微软雅黑"/>
          <w:color w:val="1A1A1A"/>
          <w:sz w:val="22"/>
        </w:rPr>
        <w:t>：仅上涨1.14%，被动跟随。它仍是区间震荡结构，今日仅是触及箱体下沿后的反弹，尚未形成趋势性突破，上方平台压力依然显著，弱于双创指数。</w:t>
      </w:r>
    </w:p>
    <w:p>
      <w:pPr>
        <w:pStyle w:val="Heading2"/>
      </w:pPr>
      <w:r>
        <w:rPr>
          <w:rFonts w:ascii="微软雅黑" w:hAnsi="微软雅黑" w:eastAsia="微软雅黑"/>
          <w:color w:val="1A1A1A"/>
          <w:sz w:val="22"/>
        </w:rPr>
        <w:t>五、量化视角</w:t>
      </w:r>
    </w:p>
    <w:p>
      <w:pPr>
        <w:spacing w:after="120"/>
      </w:pPr>
      <w:r>
        <w:rPr>
          <w:rFonts w:ascii="微软雅黑" w:hAnsi="微软雅黑" w:eastAsia="微软雅黑"/>
          <w:color w:val="1A1A1A"/>
          <w:sz w:val="22"/>
        </w:rPr>
        <w:t>今日的量化信号存在强烈的结构性背离：</w:t>
      </w:r>
    </w:p>
    <w:p>
      <w:pPr>
        <w:pStyle w:val="ListBullet"/>
        <w:spacing w:after="40"/>
      </w:pPr>
      <w:r>
        <w:rPr>
          <w:rFonts w:ascii="微软雅黑" w:hAnsi="微软雅黑" w:eastAsia="微软雅黑"/>
          <w:b/>
          <w:color w:val="D29922"/>
          <w:sz w:val="22"/>
        </w:rPr>
        <w:t>资金流向</w:t>
      </w:r>
      <w:r>
        <w:rPr>
          <w:rFonts w:ascii="微软雅黑" w:hAnsi="微软雅黑" w:eastAsia="微软雅黑"/>
          <w:color w:val="1A1A1A"/>
          <w:sz w:val="22"/>
        </w:rPr>
        <w:t>：新浪资金流数据显示，监控样本中大资金（特大单+大单）合计净流入110.09亿元，这与指数的普涨吻合。然而，代表外资的北向资金全天净流出30.68亿元，形成“内资激进、外资逢高兑现”的博弈格局。这种背离若持续，将是短期调整的信号。</w:t>
      </w:r>
    </w:p>
    <w:p>
      <w:pPr>
        <w:pStyle w:val="ListBullet"/>
        <w:spacing w:after="40"/>
      </w:pPr>
      <w:r>
        <w:rPr>
          <w:rFonts w:ascii="微软雅黑" w:hAnsi="微软雅黑" w:eastAsia="微软雅黑"/>
          <w:b/>
          <w:color w:val="D29922"/>
          <w:sz w:val="22"/>
        </w:rPr>
        <w:t>量价关系</w:t>
      </w:r>
      <w:r>
        <w:rPr>
          <w:rFonts w:ascii="微软雅黑" w:hAnsi="微软雅黑" w:eastAsia="微软雅黑"/>
          <w:color w:val="1A1A1A"/>
          <w:sz w:val="22"/>
        </w:rPr>
        <w:t>：创业板和科创板的价涨量增是健康的，但上证50与沪深300则属于缩量反弹。这预示未来市场的主战场仍在科技成长方向，而普涨之后，分化将在所难免。</w:t>
      </w:r>
    </w:p>
    <w:p>
      <w:pPr>
        <w:pStyle w:val="ListBullet"/>
        <w:spacing w:after="40"/>
      </w:pPr>
      <w:r>
        <w:rPr>
          <w:rFonts w:ascii="微软雅黑" w:hAnsi="微软雅黑" w:eastAsia="微软雅黑"/>
          <w:b/>
          <w:color w:val="D29922"/>
          <w:sz w:val="22"/>
        </w:rPr>
        <w:t>市场宽度</w:t>
      </w:r>
      <w:r>
        <w:rPr>
          <w:rFonts w:ascii="微软雅黑" w:hAnsi="微软雅黑" w:eastAsia="微软雅黑"/>
          <w:color w:val="1A1A1A"/>
          <w:sz w:val="22"/>
        </w:rPr>
        <w:t>：94.6%的上涨比率进入历史罕见区间。根据均值回归原理，如此极端的宽度数据极难持续，次日或隔日个股必然出现显著分化，尾盘缺乏涨停动能的跟风股将面临修正压力。</w:t>
      </w:r>
    </w:p>
    <w:p>
      <w:pPr>
        <w:pStyle w:val="Heading2"/>
      </w:pPr>
      <w:r>
        <w:rPr>
          <w:rFonts w:ascii="微软雅黑" w:hAnsi="微软雅黑" w:eastAsia="微软雅黑"/>
          <w:color w:val="1A1A1A"/>
          <w:sz w:val="22"/>
        </w:rPr>
        <w:t>六、宏观背景</w:t>
      </w:r>
    </w:p>
    <w:p>
      <w:pPr>
        <w:spacing w:after="120"/>
      </w:pPr>
      <w:r>
        <w:rPr>
          <w:rFonts w:ascii="微软雅黑" w:hAnsi="微软雅黑" w:eastAsia="微软雅黑"/>
          <w:color w:val="1A1A1A"/>
          <w:sz w:val="22"/>
        </w:rPr>
        <w:t>当前宏观环境为科技股的估值扩张提供了温床：</w:t>
      </w:r>
    </w:p>
    <w:p>
      <w:pPr>
        <w:pStyle w:val="ListBullet"/>
        <w:spacing w:after="40"/>
      </w:pPr>
      <w:r>
        <w:rPr>
          <w:rFonts w:ascii="微软雅黑" w:hAnsi="微软雅黑" w:eastAsia="微软雅黑"/>
          <w:b/>
          <w:color w:val="D29922"/>
          <w:sz w:val="22"/>
        </w:rPr>
        <w:t>价格信号</w:t>
      </w:r>
      <w:r>
        <w:rPr>
          <w:rFonts w:ascii="微软雅黑" w:hAnsi="微软雅黑" w:eastAsia="微软雅黑"/>
          <w:color w:val="1A1A1A"/>
          <w:sz w:val="22"/>
        </w:rPr>
        <w:t>：CPI同比1.0%，PPI同比4.1%。上游价格向下传导不畅，中下游利润结构性承压，这反而驱动资金抱团在下游应用中拥有技术壁垒和想象空间的科技类公司。</w:t>
      </w:r>
    </w:p>
    <w:p>
      <w:pPr>
        <w:pStyle w:val="ListBullet"/>
        <w:spacing w:after="40"/>
      </w:pPr>
      <w:r>
        <w:rPr>
          <w:rFonts w:ascii="微软雅黑" w:hAnsi="微软雅黑" w:eastAsia="微软雅黑"/>
          <w:b/>
          <w:color w:val="D29922"/>
          <w:sz w:val="22"/>
        </w:rPr>
        <w:t>信用环境</w:t>
      </w:r>
      <w:r>
        <w:rPr>
          <w:rFonts w:ascii="微软雅黑" w:hAnsi="微软雅黑" w:eastAsia="微软雅黑"/>
          <w:color w:val="1A1A1A"/>
          <w:sz w:val="22"/>
        </w:rPr>
        <w:t>：M2增速8.0%，社融增量同比少增，显示实体融资需求偏弱。银行净息差1.4%的历史低点制约了金融、高负债板块的估值逻辑，流动性需要寻找出口，高景气的政策支持行业成为“资产荒”下的洼地。</w:t>
      </w:r>
    </w:p>
    <w:p>
      <w:pPr>
        <w:pStyle w:val="ListBullet"/>
        <w:spacing w:after="40"/>
      </w:pPr>
      <w:r>
        <w:rPr>
          <w:rFonts w:ascii="微软雅黑" w:hAnsi="微软雅黑" w:eastAsia="微软雅黑"/>
          <w:b/>
          <w:color w:val="D29922"/>
          <w:sz w:val="22"/>
        </w:rPr>
        <w:t>政策面</w:t>
      </w:r>
      <w:r>
        <w:rPr>
          <w:rFonts w:ascii="微软雅黑" w:hAnsi="微软雅黑" w:eastAsia="微软雅黑"/>
          <w:color w:val="1A1A1A"/>
          <w:sz w:val="22"/>
        </w:rPr>
        <w:t>：LPR连续14个月按兵不动（1年期3.0%，5年期3.5%），表明政策定力十足，总闸门未大开，市场不依赖“大水漫灌”，更倾向于挖掘结构性机会。</w:t>
      </w:r>
    </w:p>
    <w:p>
      <w:pPr>
        <w:pStyle w:val="Heading2"/>
      </w:pPr>
      <w:r>
        <w:rPr>
          <w:rFonts w:ascii="微软雅黑" w:hAnsi="微软雅黑" w:eastAsia="微软雅黑"/>
          <w:color w:val="1A1A1A"/>
          <w:sz w:val="22"/>
        </w:rPr>
        <w:t>七、风险提示</w:t>
      </w:r>
    </w:p>
    <w:p>
      <w:pPr>
        <w:spacing w:after="120"/>
      </w:pPr>
      <w:r>
        <w:rPr>
          <w:rFonts w:ascii="微软雅黑" w:hAnsi="微软雅黑" w:eastAsia="微软雅黑"/>
          <w:color w:val="1A1A1A"/>
          <w:sz w:val="22"/>
        </w:rPr>
        <w:t>极致火爆背后，有几个风险点值得关注：</w:t>
      </w:r>
    </w:p>
    <w:p>
      <w:pPr>
        <w:pStyle w:val="ListBullet"/>
        <w:spacing w:after="40"/>
      </w:pPr>
      <w:r>
        <w:rPr>
          <w:rFonts w:ascii="微软雅黑" w:hAnsi="微软雅黑" w:eastAsia="微软雅黑"/>
          <w:b/>
          <w:color w:val="D29922"/>
          <w:sz w:val="22"/>
        </w:rPr>
        <w:t>背离风险</w:t>
      </w:r>
      <w:r>
        <w:rPr>
          <w:rFonts w:ascii="微软雅黑" w:hAnsi="微软雅黑" w:eastAsia="微软雅黑"/>
          <w:color w:val="1A1A1A"/>
          <w:sz w:val="22"/>
        </w:rPr>
        <w:t>：指数大涨与北向资金净流出的背离，通常预示短期震荡将加剧。明天需密切关注北向资金流向是否逆转，若持续大幅流出，将对市场情绪构成压制。</w:t>
      </w:r>
    </w:p>
    <w:p>
      <w:pPr>
        <w:pStyle w:val="ListBullet"/>
        <w:spacing w:after="40"/>
      </w:pPr>
      <w:r>
        <w:rPr>
          <w:rFonts w:ascii="微软雅黑" w:hAnsi="微软雅黑" w:eastAsia="微软雅黑"/>
          <w:b/>
          <w:color w:val="D29922"/>
          <w:sz w:val="22"/>
        </w:rPr>
        <w:t>情绪过热</w:t>
      </w:r>
      <w:r>
        <w:rPr>
          <w:rFonts w:ascii="微软雅黑" w:hAnsi="微软雅黑" w:eastAsia="微软雅黑"/>
          <w:color w:val="1A1A1A"/>
          <w:sz w:val="22"/>
        </w:rPr>
        <w:t>：94.6%的上涨家数和超百股涨停，是情绪短期见顶的常见量化特征。明日强分化是大概率事件，追高后排跟风股的风险收益比较差。</w:t>
      </w:r>
    </w:p>
    <w:p>
      <w:pPr>
        <w:pStyle w:val="ListBullet"/>
        <w:spacing w:after="40"/>
      </w:pPr>
      <w:r>
        <w:rPr>
          <w:rFonts w:ascii="微软雅黑" w:hAnsi="微软雅黑" w:eastAsia="微软雅黑"/>
          <w:b/>
          <w:color w:val="D29922"/>
          <w:sz w:val="22"/>
        </w:rPr>
        <w:t>业绩验证</w:t>
      </w:r>
      <w:r>
        <w:rPr>
          <w:rFonts w:ascii="微软雅黑" w:hAnsi="微软雅黑" w:eastAsia="微软雅黑"/>
          <w:color w:val="1A1A1A"/>
          <w:sz w:val="22"/>
        </w:rPr>
        <w:t>：从跌幅榜看，凯发电气（-10.08%）、新芝生物（-6.96%）等个股大幅杀跌，说明即使是普涨日，业绩或逻辑不佳的个股依然面临抛售。纯粹的概念炒作难以持久。</w:t>
      </w:r>
    </w:p>
    <w:p>
      <w:pPr>
        <w:spacing w:after="120"/>
      </w:pPr>
      <w:r>
        <w:rPr>
          <w:rFonts w:ascii="微软雅黑" w:hAnsi="微软雅黑" w:eastAsia="微软雅黑"/>
          <w:b/>
          <w:color w:val="D29922"/>
          <w:sz w:val="22"/>
        </w:rPr>
        <w:t>免责声明：</w:t>
      </w:r>
      <w:r>
        <w:rPr>
          <w:rFonts w:ascii="微软雅黑" w:hAnsi="微软雅黑" w:eastAsia="微软雅黑"/>
          <w:color w:val="1A1A1A"/>
          <w:sz w:val="22"/>
        </w:rPr>
        <w:t>本报告由 AI 自动生成，仅供参考，不构成任何投资建议。投资有风险，入市需谨慎。报告中的数据来源于公开接口，不对其准确性做任何保证。</w:t>
      </w:r>
    </w:p>
    <w:p/>
    <w:p>
      <w:r>
        <w:rPr>
          <w:color w:val="8B949E"/>
          <w:sz w:val="16"/>
        </w:rPr>
        <w:t>⚠️ 免责声明：本报告由 AI 自动生成，仅供参考，不构成任何投资建议。投资有风险，入市需谨慎。报告中的数据来源于公开接口，不对其准确性做任何保证。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