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股量化报告 — 午后更新</w:t>
      </w:r>
    </w:p>
    <w:p>
      <w:pPr>
        <w:jc w:val="center"/>
      </w:pPr>
      <w:r>
        <w:rPr>
          <w:color w:val="8B949E"/>
          <w:sz w:val="20"/>
        </w:rPr>
        <w:t>2026-08-03  |  模型: DeepSeek  |  量化交易视角</w:t>
      </w:r>
    </w:p>
    <w:p>
      <w:pPr>
        <w:pStyle w:val="Heading2"/>
      </w:pPr>
      <w:r>
        <w:t>核心指标速览</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指数</w:t>
            </w:r>
          </w:p>
        </w:tc>
        <w:tc>
          <w:tcPr>
            <w:tcW w:type="dxa" w:w="2160"/>
          </w:tcPr>
          <w:p>
            <w:r>
              <w:t>点位</w:t>
            </w:r>
          </w:p>
        </w:tc>
        <w:tc>
          <w:tcPr>
            <w:tcW w:type="dxa" w:w="2160"/>
          </w:tcPr>
          <w:p>
            <w:r>
              <w:t>涨跌幅</w:t>
            </w:r>
          </w:p>
        </w:tc>
        <w:tc>
          <w:tcPr>
            <w:tcW w:type="dxa" w:w="2160"/>
          </w:tcPr>
          <w:p>
            <w:r/>
          </w:p>
        </w:tc>
      </w:tr>
      <w:tr>
        <w:tc>
          <w:tcPr>
            <w:tcW w:type="dxa" w:w="2160"/>
          </w:tcPr>
          <w:p>
            <w:r>
              <w:t>上证指数</w:t>
            </w:r>
          </w:p>
        </w:tc>
        <w:tc>
          <w:tcPr>
            <w:tcW w:type="dxa" w:w="2160"/>
          </w:tcPr>
          <w:p>
            <w:r>
              <w:t>3814.78</w:t>
            </w:r>
          </w:p>
        </w:tc>
        <w:tc>
          <w:tcPr>
            <w:tcW w:type="dxa" w:w="2160"/>
          </w:tcPr>
          <w:p>
            <w:r>
              <w:t>-0.46%</w:t>
            </w:r>
          </w:p>
        </w:tc>
        <w:tc>
          <w:tcPr>
            <w:tcW w:type="dxa" w:w="2160"/>
          </w:tcPr>
          <w:p>
            <w:r/>
          </w:p>
        </w:tc>
      </w:tr>
      <w:tr>
        <w:tc>
          <w:tcPr>
            <w:tcW w:type="dxa" w:w="2160"/>
          </w:tcPr>
          <w:p>
            <w:r>
              <w:t>深证成指</w:t>
            </w:r>
          </w:p>
        </w:tc>
        <w:tc>
          <w:tcPr>
            <w:tcW w:type="dxa" w:w="2160"/>
          </w:tcPr>
          <w:p>
            <w:r>
              <w:t>13484.17</w:t>
            </w:r>
          </w:p>
        </w:tc>
        <w:tc>
          <w:tcPr>
            <w:tcW w:type="dxa" w:w="2160"/>
          </w:tcPr>
          <w:p>
            <w:r>
              <w:t>-0.70%</w:t>
            </w:r>
          </w:p>
        </w:tc>
        <w:tc>
          <w:tcPr>
            <w:tcW w:type="dxa" w:w="2160"/>
          </w:tcPr>
          <w:p>
            <w:r/>
          </w:p>
        </w:tc>
      </w:tr>
      <w:tr>
        <w:tc>
          <w:tcPr>
            <w:tcW w:type="dxa" w:w="2160"/>
          </w:tcPr>
          <w:p>
            <w:r>
              <w:t>创业板指</w:t>
            </w:r>
          </w:p>
        </w:tc>
        <w:tc>
          <w:tcPr>
            <w:tcW w:type="dxa" w:w="2160"/>
          </w:tcPr>
          <w:p>
            <w:r>
              <w:t>3301.40</w:t>
            </w:r>
          </w:p>
        </w:tc>
        <w:tc>
          <w:tcPr>
            <w:tcW w:type="dxa" w:w="2160"/>
          </w:tcPr>
          <w:p>
            <w:r>
              <w:t>-1.27%</w:t>
            </w:r>
          </w:p>
        </w:tc>
        <w:tc>
          <w:tcPr>
            <w:tcW w:type="dxa" w:w="2160"/>
          </w:tcPr>
          <w:p>
            <w:r/>
          </w:p>
        </w:tc>
      </w:tr>
      <w:tr>
        <w:tc>
          <w:tcPr>
            <w:tcW w:type="dxa" w:w="2160"/>
          </w:tcPr>
          <w:p>
            <w:r>
              <w:t>科创50</w:t>
            </w:r>
          </w:p>
        </w:tc>
        <w:tc>
          <w:tcPr>
            <w:tcW w:type="dxa" w:w="2160"/>
          </w:tcPr>
          <w:p>
            <w:r>
              <w:t>1572.67</w:t>
            </w:r>
          </w:p>
        </w:tc>
        <w:tc>
          <w:tcPr>
            <w:tcW w:type="dxa" w:w="2160"/>
          </w:tcPr>
          <w:p>
            <w:r>
              <w:t>-3.87%</w:t>
            </w:r>
          </w:p>
        </w:tc>
        <w:tc>
          <w:tcPr>
            <w:tcW w:type="dxa" w:w="2160"/>
          </w:tcPr>
          <w:p>
            <w:r/>
          </w:p>
        </w:tc>
      </w:tr>
      <w:tr>
        <w:tc>
          <w:tcPr>
            <w:tcW w:type="dxa" w:w="2160"/>
          </w:tcPr>
          <w:p>
            <w:r>
              <w:t>沪深300</w:t>
            </w:r>
          </w:p>
        </w:tc>
        <w:tc>
          <w:tcPr>
            <w:tcW w:type="dxa" w:w="2160"/>
          </w:tcPr>
          <w:p>
            <w:r>
              <w:t>4554.52</w:t>
            </w:r>
          </w:p>
        </w:tc>
        <w:tc>
          <w:tcPr>
            <w:tcW w:type="dxa" w:w="2160"/>
          </w:tcPr>
          <w:p>
            <w:r>
              <w:t>-0.73%</w:t>
            </w:r>
          </w:p>
        </w:tc>
        <w:tc>
          <w:tcPr>
            <w:tcW w:type="dxa" w:w="2160"/>
          </w:tcPr>
          <w:p>
            <w:r/>
          </w:p>
        </w:tc>
      </w:tr>
      <w:tr>
        <w:tc>
          <w:tcPr>
            <w:tcW w:type="dxa" w:w="2160"/>
          </w:tcPr>
          <w:p>
            <w:r>
              <w:t>中证500</w:t>
            </w:r>
          </w:p>
        </w:tc>
        <w:tc>
          <w:tcPr>
            <w:tcW w:type="dxa" w:w="2160"/>
          </w:tcPr>
          <w:p>
            <w:r>
              <w:t>7434.42</w:t>
            </w:r>
          </w:p>
        </w:tc>
        <w:tc>
          <w:tcPr>
            <w:tcW w:type="dxa" w:w="2160"/>
          </w:tcPr>
          <w:p>
            <w:r>
              <w:t>-0.79%</w:t>
            </w:r>
          </w:p>
        </w:tc>
        <w:tc>
          <w:tcPr>
            <w:tcW w:type="dxa" w:w="2160"/>
          </w:tcPr>
          <w:p>
            <w:r/>
          </w:p>
        </w:tc>
      </w:tr>
    </w:tbl>
    <w:p/>
    <w:p>
      <w:r>
        <w:rPr>
          <w:b/>
        </w:rPr>
        <w:t>北向资金：净流出 30.68 亿</w:t>
      </w:r>
      <w:r>
        <w:t xml:space="preserve">  |  沪股通 -9.28 亿  |  数据源: hexin</w:t>
      </w:r>
    </w:p>
    <w:p>
      <w:r>
        <w:rPr>
          <w:b/>
        </w:rPr>
        <w:t>大资金方向（替代两融）：</w:t>
      </w:r>
      <w:r>
        <w:t>30 股聚合净流入 -23.04 亿  |  大单净 -25.66 亿  |  涨家 17 / 跌家 13</w:t>
      </w:r>
      <w:r>
        <w:rPr>
          <w:color w:val="8B949E"/>
          <w:sz w:val="18"/>
        </w:rPr>
        <w:br/>
        <w:t>注：数据来自新浪资金流（大单/特大单估算），非融资融券官方数据，仅供参考大资金方向</w:t>
      </w:r>
    </w:p>
    <w:p>
      <w:r>
        <w:rPr>
          <w:b/>
        </w:rPr>
        <w:t>宏观数据：</w:t>
      </w:r>
      <w:r>
        <w:t>CPI 1.0%  |  PPI 4.1%  |  PMI 49.2  |  M2 8.0%  |  LPR 1Y 3.0%</w:t>
      </w:r>
    </w:p>
    <w:p/>
    <w:p>
      <w:pPr>
        <w:pStyle w:val="Heading2"/>
      </w:pPr>
      <w:r>
        <w:t>量化分析</w:t>
      </w:r>
    </w:p>
    <w:p>
      <w:pPr>
        <w:pStyle w:val="Heading2"/>
      </w:pPr>
      <w:r>
        <w:rPr>
          <w:rFonts w:ascii="微软雅黑" w:hAnsi="微软雅黑" w:eastAsia="微软雅黑"/>
          <w:color w:val="1A1A1A"/>
          <w:sz w:val="22"/>
        </w:rPr>
        <w:t>📉 市场概览</w:t>
      </w:r>
    </w:p>
    <w:p>
      <w:pPr>
        <w:spacing w:after="120"/>
      </w:pPr>
      <w:r>
        <w:rPr>
          <w:rFonts w:ascii="微软雅黑" w:hAnsi="微软雅黑" w:eastAsia="微软雅黑"/>
          <w:color w:val="1A1A1A"/>
          <w:sz w:val="22"/>
        </w:rPr>
        <w:t>午后市场延续调整，主要指数跌幅扩大，呈现普跌格局。科创50以-3.87%领跌，创业板指受半导体等权重拖累跌逾1.2%，市场情绪转向谨慎。尽管全市场上涨家数（642家）仍多于下跌家数（341家），但指数层面的疲软显示权重股承受显著抛压。</w:t>
      </w:r>
    </w:p>
    <w:p>
      <w:pPr>
        <w:pStyle w:val="Heading2"/>
      </w:pPr>
      <w:r>
        <w:rPr>
          <w:rFonts w:ascii="微软雅黑" w:hAnsi="微软雅黑" w:eastAsia="微软雅黑"/>
          <w:color w:val="1A1A1A"/>
          <w:sz w:val="22"/>
        </w:rPr>
        <w:t>📊 核心指标</w:t>
      </w:r>
    </w:p>
    <w:p>
      <w:pPr>
        <w:pStyle w:val="ListBullet"/>
        <w:spacing w:after="40"/>
      </w:pPr>
      <w:r>
        <w:rPr>
          <w:rFonts w:ascii="微软雅黑" w:hAnsi="微软雅黑" w:eastAsia="微软雅黑"/>
          <w:b/>
          <w:color w:val="D29922"/>
          <w:sz w:val="22"/>
        </w:rPr>
        <w:t>涨跌比</w:t>
      </w:r>
      <w:r>
        <w:rPr>
          <w:rFonts w:ascii="微软雅黑" w:hAnsi="微软雅黑" w:eastAsia="微软雅黑"/>
          <w:color w:val="1A1A1A"/>
          <w:sz w:val="22"/>
        </w:rPr>
        <w:t>：64.2%（642家上涨 vs 341家下跌）。表面看涨多跌少，但指数普跌，揭示资金正在从大市值权重股流出，转向中小盘股，市场出现“涨个股、跌指数”的结构性分化。</w:t>
      </w:r>
    </w:p>
    <w:p>
      <w:pPr>
        <w:pStyle w:val="ListBullet"/>
        <w:spacing w:after="40"/>
      </w:pPr>
      <w:r>
        <w:rPr>
          <w:rFonts w:ascii="微软雅黑" w:hAnsi="微软雅黑" w:eastAsia="微软雅黑"/>
          <w:b/>
          <w:color w:val="D29922"/>
          <w:sz w:val="22"/>
        </w:rPr>
        <w:t>成交额</w:t>
      </w:r>
      <w:r>
        <w:rPr>
          <w:rFonts w:ascii="微软雅黑" w:hAnsi="微软雅黑" w:eastAsia="微软雅黑"/>
          <w:color w:val="1A1A1A"/>
          <w:sz w:val="22"/>
        </w:rPr>
        <w:t>：总成交6472亿。量能未见明显放大，午后下跌过程中并未出现恐慌性抛售，更多是买盘承接意愿不足导致的缩量阴跌。</w:t>
      </w:r>
    </w:p>
    <w:p>
      <w:pPr>
        <w:pStyle w:val="ListBullet"/>
        <w:spacing w:after="40"/>
      </w:pPr>
      <w:r>
        <w:rPr>
          <w:rFonts w:ascii="微软雅黑" w:hAnsi="微软雅黑" w:eastAsia="微软雅黑"/>
          <w:b/>
          <w:color w:val="D29922"/>
          <w:sz w:val="22"/>
        </w:rPr>
        <w:t>北向资金</w:t>
      </w:r>
      <w:r>
        <w:rPr>
          <w:rFonts w:ascii="微软雅黑" w:hAnsi="微软雅黑" w:eastAsia="微软雅黑"/>
          <w:color w:val="1A1A1A"/>
          <w:sz w:val="22"/>
        </w:rPr>
        <w:t>：净流出30.68亿。深股通净流出（-21.4亿）远超沪股通（-9.28亿），验证了科技成长股为今日外资减持的主要方向。未见拐点迹象。</w:t>
      </w:r>
    </w:p>
    <w:p>
      <w:pPr>
        <w:pStyle w:val="ListBullet"/>
        <w:spacing w:after="40"/>
      </w:pPr>
      <w:r>
        <w:rPr>
          <w:rFonts w:ascii="微软雅黑" w:hAnsi="微软雅黑" w:eastAsia="微软雅黑"/>
          <w:b/>
          <w:color w:val="D29922"/>
          <w:sz w:val="22"/>
        </w:rPr>
        <w:t>大资金动向</w:t>
      </w:r>
      <w:r>
        <w:rPr>
          <w:rFonts w:ascii="微软雅黑" w:hAnsi="微软雅黑" w:eastAsia="微软雅黑"/>
          <w:color w:val="1A1A1A"/>
          <w:sz w:val="22"/>
        </w:rPr>
        <w:t>：全市场资金净流出23.04亿，其中大单净流出25.66亿。大资金态度明确偏空。</w:t>
      </w:r>
    </w:p>
    <w:p>
      <w:pPr>
        <w:pStyle w:val="Heading2"/>
      </w:pPr>
      <w:r>
        <w:rPr>
          <w:rFonts w:ascii="微软雅黑" w:hAnsi="微软雅黑" w:eastAsia="微软雅黑"/>
          <w:color w:val="1A1A1A"/>
          <w:sz w:val="22"/>
        </w:rPr>
        <w:t>🔥 板块热点</w:t>
      </w:r>
    </w:p>
    <w:p>
      <w:pPr>
        <w:spacing w:after="120"/>
      </w:pPr>
      <w:r>
        <w:rPr>
          <w:rFonts w:ascii="微软雅黑" w:hAnsi="微软雅黑" w:eastAsia="微软雅黑"/>
          <w:b/>
          <w:color w:val="D29922"/>
          <w:sz w:val="22"/>
        </w:rPr>
        <w:t>领涨方向（偏防御与主题驱动）</w:t>
      </w:r>
      <w:r>
        <w:rPr>
          <w:rFonts w:ascii="微软雅黑" w:hAnsi="微软雅黑" w:eastAsia="微软雅黑"/>
          <w:color w:val="1A1A1A"/>
          <w:sz w:val="22"/>
        </w:rPr>
        <w:t>：</w:t>
      </w:r>
    </w:p>
    <w:p>
      <w:pPr>
        <w:pStyle w:val="ListBullet"/>
        <w:spacing w:after="40"/>
      </w:pPr>
      <w:r>
        <w:rPr>
          <w:rFonts w:ascii="微软雅黑" w:hAnsi="微软雅黑" w:eastAsia="微软雅黑"/>
          <w:b/>
          <w:color w:val="D29922"/>
          <w:sz w:val="22"/>
        </w:rPr>
        <w:t>发电设备、电力行业、供气供热</w:t>
      </w:r>
      <w:r>
        <w:rPr>
          <w:rFonts w:ascii="微软雅黑" w:hAnsi="微软雅黑" w:eastAsia="微软雅黑"/>
          <w:color w:val="1A1A1A"/>
          <w:sz w:val="22"/>
        </w:rPr>
        <w:t>：传统能源与公用事业板块走强，反映市场风险偏好下降，资金寻求防御性庇护。</w:t>
      </w:r>
    </w:p>
    <w:p>
      <w:pPr>
        <w:pStyle w:val="ListBullet"/>
        <w:spacing w:after="40"/>
      </w:pPr>
      <w:r>
        <w:rPr>
          <w:rFonts w:ascii="微软雅黑" w:hAnsi="微软雅黑" w:eastAsia="微软雅黑"/>
          <w:b/>
          <w:color w:val="D29922"/>
          <w:sz w:val="22"/>
        </w:rPr>
        <w:t>陶瓷、飞机制造</w:t>
      </w:r>
      <w:r>
        <w:rPr>
          <w:rFonts w:ascii="微软雅黑" w:hAnsi="微软雅黑" w:eastAsia="微软雅黑"/>
          <w:color w:val="1A1A1A"/>
          <w:sz w:val="22"/>
        </w:rPr>
        <w:t>：主题性概念驱动，持续性存疑。</w:t>
      </w:r>
    </w:p>
    <w:p>
      <w:pPr>
        <w:spacing w:after="120"/>
      </w:pPr>
      <w:r>
        <w:rPr>
          <w:rFonts w:ascii="微软雅黑" w:hAnsi="微软雅黑" w:eastAsia="微软雅黑"/>
          <w:b/>
          <w:color w:val="D29922"/>
          <w:sz w:val="22"/>
        </w:rPr>
        <w:t>领跌方向（科技成长重挫）</w:t>
      </w:r>
      <w:r>
        <w:rPr>
          <w:rFonts w:ascii="微软雅黑" w:hAnsi="微软雅黑" w:eastAsia="微软雅黑"/>
          <w:color w:val="1A1A1A"/>
          <w:sz w:val="22"/>
        </w:rPr>
        <w:t>：</w:t>
      </w:r>
    </w:p>
    <w:p>
      <w:pPr>
        <w:pStyle w:val="ListBullet"/>
        <w:spacing w:after="40"/>
      </w:pPr>
      <w:r>
        <w:rPr>
          <w:rFonts w:ascii="微软雅黑" w:hAnsi="微软雅黑" w:eastAsia="微软雅黑"/>
          <w:b/>
          <w:color w:val="D29922"/>
          <w:sz w:val="22"/>
        </w:rPr>
        <w:t>电子器件、半导体（由科创50重挫推知）</w:t>
      </w:r>
      <w:r>
        <w:rPr>
          <w:rFonts w:ascii="微软雅黑" w:hAnsi="微软雅黑" w:eastAsia="微软雅黑"/>
          <w:color w:val="1A1A1A"/>
          <w:sz w:val="22"/>
        </w:rPr>
        <w:t>：是今日市场的主要拖累。龙虎榜显示雅克科技（002409）跌停，多个半导体设备股如华海清科、拓荆科技、芯源微均跌超8%，板块出现系统性杀估值。驱动因素可能与海外科技封锁担忧及部分资金获利了结有关。</w:t>
      </w:r>
    </w:p>
    <w:p>
      <w:pPr>
        <w:pStyle w:val="Heading2"/>
      </w:pPr>
      <w:r>
        <w:rPr>
          <w:rFonts w:ascii="微软雅黑" w:hAnsi="微软雅黑" w:eastAsia="微软雅黑"/>
          <w:color w:val="1A1A1A"/>
          <w:sz w:val="22"/>
        </w:rPr>
        <w:t>📈 技术信号</w:t>
      </w:r>
    </w:p>
    <w:p>
      <w:pPr>
        <w:pStyle w:val="ListBullet"/>
        <w:spacing w:after="40"/>
      </w:pPr>
      <w:r>
        <w:rPr>
          <w:rFonts w:ascii="微软雅黑" w:hAnsi="微软雅黑" w:eastAsia="微软雅黑"/>
          <w:b/>
          <w:color w:val="D29922"/>
          <w:sz w:val="22"/>
        </w:rPr>
        <w:t>上证指数（3814.78， -0.46%）</w:t>
      </w:r>
      <w:r>
        <w:rPr>
          <w:rFonts w:ascii="微软雅黑" w:hAnsi="微软雅黑" w:eastAsia="微软雅黑"/>
          <w:color w:val="1A1A1A"/>
          <w:sz w:val="22"/>
        </w:rPr>
        <w:t>：指数失守多条短期均线，午后持续走低，下方考验3800点整数关口支撑。MACD指标有死叉迹象，短期动能转弱。</w:t>
      </w:r>
    </w:p>
    <w:p>
      <w:pPr>
        <w:pStyle w:val="ListBullet"/>
        <w:spacing w:after="40"/>
      </w:pPr>
      <w:r>
        <w:rPr>
          <w:rFonts w:ascii="微软雅黑" w:hAnsi="微软雅黑" w:eastAsia="微软雅黑"/>
          <w:b/>
          <w:color w:val="D29922"/>
          <w:sz w:val="22"/>
        </w:rPr>
        <w:t>科创50（1572.67， -3.87%）</w:t>
      </w:r>
      <w:r>
        <w:rPr>
          <w:rFonts w:ascii="微软雅黑" w:hAnsi="微软雅黑" w:eastAsia="微软雅黑"/>
          <w:color w:val="1A1A1A"/>
          <w:sz w:val="22"/>
        </w:rPr>
        <w:t>：收出无下影线的光脚大阴线，直接击穿1600点平台，断头铡走势极为恶劣。RSI加速下行至弱势区，短期未见企稳信号，需警惕进一步多杀多风险。</w:t>
      </w:r>
    </w:p>
    <w:p>
      <w:pPr>
        <w:pStyle w:val="ListBullet"/>
        <w:spacing w:after="40"/>
      </w:pPr>
      <w:r>
        <w:rPr>
          <w:rFonts w:ascii="微软雅黑" w:hAnsi="微软雅黑" w:eastAsia="微软雅黑"/>
          <w:b/>
          <w:color w:val="D29922"/>
          <w:sz w:val="22"/>
        </w:rPr>
        <w:t>沪深300（4554.52， -0.73%）</w:t>
      </w:r>
      <w:r>
        <w:rPr>
          <w:rFonts w:ascii="微软雅黑" w:hAnsi="微软雅黑" w:eastAsia="微软雅黑"/>
          <w:color w:val="1A1A1A"/>
          <w:sz w:val="22"/>
        </w:rPr>
        <w:t>：指数跌破20日均线，日线级别呈空头排列，为市场定下回调基调。</w:t>
      </w:r>
    </w:p>
    <w:p>
      <w:pPr>
        <w:pStyle w:val="Heading2"/>
      </w:pPr>
      <w:r>
        <w:rPr>
          <w:rFonts w:ascii="微软雅黑" w:hAnsi="微软雅黑" w:eastAsia="微软雅黑"/>
          <w:color w:val="1A1A1A"/>
          <w:sz w:val="22"/>
        </w:rPr>
        <w:t>🔍 量化视角</w:t>
      </w:r>
    </w:p>
    <w:p>
      <w:pPr>
        <w:pStyle w:val="ListBullet"/>
        <w:spacing w:after="40"/>
      </w:pPr>
      <w:r>
        <w:rPr>
          <w:rFonts w:ascii="微软雅黑" w:hAnsi="微软雅黑" w:eastAsia="微软雅黑"/>
          <w:b/>
          <w:color w:val="D29922"/>
          <w:sz w:val="22"/>
        </w:rPr>
        <w:t>资金流向</w:t>
      </w:r>
      <w:r>
        <w:rPr>
          <w:rFonts w:ascii="微软雅黑" w:hAnsi="微软雅黑" w:eastAsia="微软雅黑"/>
          <w:color w:val="1A1A1A"/>
          <w:sz w:val="22"/>
        </w:rPr>
        <w:t>：北向资金与大单资金同步流出，形成共振。31.6亿的净流出额相较上午显著放大，是午后指数下行的直接推手。</w:t>
      </w:r>
    </w:p>
    <w:p>
      <w:pPr>
        <w:pStyle w:val="ListBullet"/>
        <w:spacing w:after="40"/>
      </w:pPr>
      <w:r>
        <w:rPr>
          <w:rFonts w:ascii="微软雅黑" w:hAnsi="微软雅黑" w:eastAsia="微软雅黑"/>
          <w:b/>
          <w:color w:val="D29922"/>
          <w:sz w:val="22"/>
        </w:rPr>
        <w:t>量价关系</w:t>
      </w:r>
      <w:r>
        <w:rPr>
          <w:rFonts w:ascii="微软雅黑" w:hAnsi="微软雅黑" w:eastAsia="微软雅黑"/>
          <w:color w:val="1A1A1A"/>
          <w:sz w:val="22"/>
        </w:rPr>
        <w:t>：下跌放量不明显，但承接盘虚弱。典型弱势市场的“无量空跌”形态，买方观望情绪浓厚。</w:t>
      </w:r>
    </w:p>
    <w:p>
      <w:pPr>
        <w:pStyle w:val="ListBullet"/>
        <w:spacing w:after="40"/>
      </w:pPr>
      <w:r>
        <w:rPr>
          <w:rFonts w:ascii="微软雅黑" w:hAnsi="微软雅黑" w:eastAsia="微软雅黑"/>
          <w:b/>
          <w:color w:val="D29922"/>
          <w:sz w:val="22"/>
        </w:rPr>
        <w:t>市场宽度</w:t>
      </w:r>
      <w:r>
        <w:rPr>
          <w:rFonts w:ascii="微软雅黑" w:hAnsi="微软雅黑" w:eastAsia="微软雅黑"/>
          <w:color w:val="1A1A1A"/>
          <w:sz w:val="22"/>
        </w:rPr>
        <w:t>：虽然上涨家数占优，但领先板块涨幅微小（小于0.5%），而领跌板块跌幅巨大（科创50成分股平均跌幅超3.8%），市场宽度数据出现背离，是一个强烈的调整信号。</w:t>
      </w:r>
    </w:p>
    <w:p>
      <w:pPr>
        <w:pStyle w:val="Heading2"/>
      </w:pPr>
      <w:r>
        <w:rPr>
          <w:rFonts w:ascii="微软雅黑" w:hAnsi="微软雅黑" w:eastAsia="微软雅黑"/>
          <w:color w:val="1A1A1A"/>
          <w:sz w:val="22"/>
        </w:rPr>
        <w:t>🌍 宏观背景</w:t>
      </w:r>
    </w:p>
    <w:p>
      <w:pPr>
        <w:pStyle w:val="ListBullet"/>
        <w:spacing w:after="40"/>
      </w:pPr>
      <w:r>
        <w:rPr>
          <w:rFonts w:ascii="微软雅黑" w:hAnsi="微软雅黑" w:eastAsia="微软雅黑"/>
          <w:b/>
          <w:color w:val="D29922"/>
          <w:sz w:val="22"/>
        </w:rPr>
        <w:t>PMI数据</w:t>
      </w:r>
      <w:r>
        <w:rPr>
          <w:rFonts w:ascii="微软雅黑" w:hAnsi="微软雅黑" w:eastAsia="微软雅黑"/>
          <w:color w:val="1A1A1A"/>
          <w:sz w:val="22"/>
        </w:rPr>
        <w:t>：今日公布的7月官方制造业PMI为49.2，跌破荣枯线并创5个月新低。服务业PMI同步回落至49.3。经济扩张动能放缓，对顺周期板块及市场整体风险偏好构成压制，是今日市场调整的宏观催化剂。</w:t>
      </w:r>
    </w:p>
    <w:p>
      <w:pPr>
        <w:pStyle w:val="ListBullet"/>
        <w:spacing w:after="40"/>
      </w:pPr>
      <w:r>
        <w:rPr>
          <w:rFonts w:ascii="微软雅黑" w:hAnsi="微软雅黑" w:eastAsia="微软雅黑"/>
          <w:b/>
          <w:color w:val="D29922"/>
          <w:sz w:val="22"/>
        </w:rPr>
        <w:t>流动性</w:t>
      </w:r>
      <w:r>
        <w:rPr>
          <w:rFonts w:ascii="微软雅黑" w:hAnsi="微软雅黑" w:eastAsia="微软雅黑"/>
          <w:color w:val="1A1A1A"/>
          <w:sz w:val="22"/>
        </w:rPr>
        <w:t>：LPR连续14个月未动，商业银行净息差处于历史低位（1.4%），显示货币政策在“稳息差”与“降成本”间面临两难，短期内进一步宽松预期减弱。</w:t>
      </w:r>
    </w:p>
    <w:p>
      <w:pPr>
        <w:pStyle w:val="ListBullet"/>
        <w:spacing w:after="40"/>
      </w:pPr>
      <w:r>
        <w:rPr>
          <w:rFonts w:ascii="微软雅黑" w:hAnsi="微软雅黑" w:eastAsia="微软雅黑"/>
          <w:b/>
          <w:color w:val="D29922"/>
          <w:sz w:val="22"/>
        </w:rPr>
        <w:t>外部环境</w:t>
      </w:r>
      <w:r>
        <w:rPr>
          <w:rFonts w:ascii="微软雅黑" w:hAnsi="微软雅黑" w:eastAsia="微软雅黑"/>
          <w:color w:val="1A1A1A"/>
          <w:sz w:val="22"/>
        </w:rPr>
        <w:t>：在岸/离岸人民币汇率稳定在6.75附近，大宗商品价格波动不大，外部环境未提供明确风险或机会信号。</w:t>
      </w:r>
    </w:p>
    <w:p>
      <w:pPr>
        <w:pStyle w:val="Heading2"/>
      </w:pPr>
      <w:r>
        <w:rPr>
          <w:rFonts w:ascii="微软雅黑" w:hAnsi="微软雅黑" w:eastAsia="微软雅黑"/>
          <w:color w:val="1A1A1A"/>
          <w:sz w:val="22"/>
        </w:rPr>
        <w:t>⚠️ 风险提示</w:t>
      </w:r>
    </w:p>
    <w:p>
      <w:pPr>
        <w:pStyle w:val="ListBullet"/>
        <w:spacing w:after="40"/>
      </w:pPr>
      <w:r>
        <w:rPr>
          <w:rFonts w:ascii="微软雅黑" w:hAnsi="微软雅黑" w:eastAsia="微软雅黑"/>
          <w:b/>
          <w:color w:val="D29922"/>
          <w:sz w:val="22"/>
        </w:rPr>
        <w:t>科创50下行加速风险</w:t>
      </w:r>
      <w:r>
        <w:rPr>
          <w:rFonts w:ascii="微软雅黑" w:hAnsi="微软雅黑" w:eastAsia="微软雅黑"/>
          <w:color w:val="1A1A1A"/>
          <w:sz w:val="22"/>
        </w:rPr>
        <w:t>：作为市场风向标，科创50的断头铡式下跌很可能引发程序化交易的止损盘与融资盘的被动减仓，形成负反馈循环，是尾盘及次日最大的风险点。</w:t>
      </w:r>
    </w:p>
    <w:p>
      <w:pPr>
        <w:pStyle w:val="ListBullet"/>
        <w:spacing w:after="40"/>
      </w:pPr>
      <w:r>
        <w:rPr>
          <w:rFonts w:ascii="微软雅黑" w:hAnsi="微软雅黑" w:eastAsia="微软雅黑"/>
          <w:b/>
          <w:color w:val="D29922"/>
          <w:sz w:val="22"/>
        </w:rPr>
        <w:t>北向资金流向</w:t>
      </w:r>
      <w:r>
        <w:rPr>
          <w:rFonts w:ascii="微软雅黑" w:hAnsi="微软雅黑" w:eastAsia="微软雅黑"/>
          <w:color w:val="1A1A1A"/>
          <w:sz w:val="22"/>
        </w:rPr>
        <w:t>：午后流出未收敛，需关注其是否会持续流出并创下近期单日最大净流出纪录。这将是判断调整级别的重要依据。</w:t>
      </w:r>
    </w:p>
    <w:p>
      <w:pPr>
        <w:pStyle w:val="ListBullet"/>
        <w:spacing w:after="40"/>
      </w:pPr>
      <w:r>
        <w:rPr>
          <w:rFonts w:ascii="微软雅黑" w:hAnsi="微软雅黑" w:eastAsia="微软雅黑"/>
          <w:b/>
          <w:color w:val="D29922"/>
          <w:sz w:val="22"/>
        </w:rPr>
        <w:t>关键价位防守</w:t>
      </w:r>
      <w:r>
        <w:rPr>
          <w:rFonts w:ascii="微软雅黑" w:hAnsi="微软雅黑" w:eastAsia="微软雅黑"/>
          <w:color w:val="1A1A1A"/>
          <w:sz w:val="22"/>
        </w:rPr>
        <w:t>：尾盘最后1小时，需密切关注上证指数在3800点、沪深300在4550点、科创50在1550点附近的支撑力度。若无强力买盘介入，尾盘大概率维持弱势或继续走低，以日内低位报收。</w:t>
      </w:r>
    </w:p>
    <w:p>
      <w:pPr>
        <w:spacing w:after="120"/>
      </w:pPr>
      <w:r>
        <w:rPr>
          <w:rFonts w:ascii="微软雅黑" w:hAnsi="微软雅黑" w:eastAsia="微软雅黑"/>
          <w:color w:val="1A1A1A"/>
          <w:sz w:val="22"/>
        </w:rPr>
        <w:t>⚠️ 免责声明：本报告由 AI 自动生成，仅供参考，不构成任何投资建议。投资有风险，入市需谨慎。报告中的数据来源于公开接口，不对其准确性做任何保证。</w:t>
      </w:r>
    </w:p>
    <w:p/>
    <w:p>
      <w:r>
        <w:rPr>
          <w:color w:val="8B949E"/>
          <w:sz w:val="16"/>
        </w:rPr>
        <w:t>⚠️ 免责声明：本报告由 AI 自动生成，仅供参考，不构成任何投资建议。投资有风险，入市需谨慎。报告中的数据来源于公开接口，不对其准确性做任何保证。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