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2026-08-10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3939.97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14311.01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3563.12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1744.02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4693.78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7979.51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纳斯达克指数录得1.3%的显著涨幅，为今日A股科技成长板块开盘提供了正向情绪引导。尽管缺少富时A50期货夜盘数据进行交叉验证，但纳指的强势通常通过外资风险偏好和产业链映射两条路径传导，预计A股开盘将出现结构性高开，重点关注半导体、消费电子等与纳指联动性较高的板块集合竞价量能。若开盘后外资活跃度指标未显示北向成交额显著放大，则高开低走的概率将上升，情绪传导将快速衰减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核心宏观矛盾在于昨日发布的7月制造业PMI录得49.2，已滑入收缩区间，这一宏观逆风与隔夜纳指上涨形成方向性背离，市场将在“弱现实”与“海外映射”之间博弈。今日需密切监控上证指数在近期低点附近的多空争夺，若反弹无量，无法回补关键阻力位，则PMI数据所揭示的经济动能衰减将成为压制周期和价值板块的主要力量，资金可能被迫进一步向AI算力、高端制造等具备独立景气逻辑的板块集中，导致市场结构极端分化。量化视角下，需警惕市场宽度指标进一步恶化，若上涨家数无法有效扩张，指数的任何脉冲式反弹都缺乏持续性基础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