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午后更新</w:t>
      </w:r>
    </w:p>
    <w:p>
      <w:pPr>
        <w:jc w:val="center"/>
      </w:pPr>
      <w:r>
        <w:rPr>
          <w:color w:val="8B949E"/>
          <w:sz w:val="20"/>
        </w:rPr>
        <w:t>2026-08-27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3945.29</w:t>
            </w:r>
          </w:p>
        </w:tc>
        <w:tc>
          <w:tcPr>
            <w:tcW w:type="dxa" w:w="2160"/>
          </w:tcPr>
          <w:p>
            <w:r>
              <w:t>+0.84%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13975.18</w:t>
            </w:r>
          </w:p>
        </w:tc>
        <w:tc>
          <w:tcPr>
            <w:tcW w:type="dxa" w:w="2160"/>
          </w:tcPr>
          <w:p>
            <w:r>
              <w:t>+0.97%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3447.48</w:t>
            </w:r>
          </w:p>
        </w:tc>
        <w:tc>
          <w:tcPr>
            <w:tcW w:type="dxa" w:w="2160"/>
          </w:tcPr>
          <w:p>
            <w:r>
              <w:t>+0.95%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1676.87</w:t>
            </w:r>
          </w:p>
        </w:tc>
        <w:tc>
          <w:tcPr>
            <w:tcW w:type="dxa" w:w="2160"/>
          </w:tcPr>
          <w:p>
            <w:r>
              <w:t>+2.75%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4615.00</w:t>
            </w:r>
          </w:p>
        </w:tc>
        <w:tc>
          <w:tcPr>
            <w:tcW w:type="dxa" w:w="2160"/>
          </w:tcPr>
          <w:p>
            <w:r>
              <w:t>+0.53%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7899.30</w:t>
            </w:r>
          </w:p>
        </w:tc>
        <w:tc>
          <w:tcPr>
            <w:tcW w:type="dxa" w:w="2160"/>
          </w:tcPr>
          <w:p>
            <w:r>
              <w:t>+1.66%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30.7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56.45 亿  |  大单净 55.88 亿  |  涨家 25 / 跌家 5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模块一：边际速览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本时段核心变化是：指数层面看似普涨，但边际动能出现明显分化——主板向上修复，成长指数同步回落，叠加成交额较上一时段放量26.7%，属典型“高位换手”而非单边加速。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指数方向：</w:t>
      </w:r>
      <w:r>
        <w:rPr>
          <w:rFonts w:ascii="微软雅黑" w:hAnsi="微软雅黑" w:eastAsia="微软雅黑"/>
          <w:color w:val="1A1A1A"/>
          <w:sz w:val="22"/>
        </w:rPr>
        <w:t>上证指数较上一时段+0.23pp，呈动能修复；但创业板指较上一时段-0.56pp、科创50 -0.70pp，成长端动能明显衰竭。对比昨日同期，科创50仍有+1.10pp加速，但较上午盘中的动量峰值已回落，属“惯性冲高后回落”而非趋势反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量能：</w:t>
      </w:r>
      <w:r>
        <w:rPr>
          <w:rFonts w:ascii="微软雅黑" w:hAnsi="微软雅黑" w:eastAsia="微软雅黑"/>
          <w:color w:val="1A1A1A"/>
          <w:sz w:val="22"/>
        </w:rPr>
        <w:t>两市成交额17125亿，较上一时段放量26.7%，较昨日同期放量15.4%。14:00后如果维持该速率，全天量能有望站上1.9万亿，但放量发生在指数涨速放缓背景下，需警惕“高位换手、资金派发”的可能性。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涨跌比：</w:t>
      </w:r>
      <w:r>
        <w:rPr>
          <w:rFonts w:ascii="微软雅黑" w:hAnsi="微软雅黑" w:eastAsia="微软雅黑"/>
          <w:color w:val="1A1A1A"/>
          <w:sz w:val="22"/>
        </w:rPr>
        <w:t>上涨628家、下跌362家、涨跌比1.73:1，涨停17家、跌停0家，市场宽度尚可但涨停家数偏少，说明赚钱效应集中在板块轮动中的龙头，而非普涨扩散。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模块二：量价结构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权重股并未形成虹吸，题材资金是今日市场的主导力量，但轮动速度过快正在消耗接力资金。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权重占比：</w:t>
      </w:r>
      <w:r>
        <w:rPr>
          <w:rFonts w:ascii="微软雅黑" w:hAnsi="微软雅黑" w:eastAsia="微软雅黑"/>
          <w:color w:val="1A1A1A"/>
          <w:sz w:val="22"/>
        </w:rPr>
        <w:t>沪深300成交额约4710.8亿（index.000300.amount=47108266.5万），占两市总成交额17125亿的比例约27.5%，远低于70%虹吸阈值，说明大票不是本轮行情的主角，资金明显偏向中证500（+1.66%）代表的二线品种和题材。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轮动结构：</w:t>
      </w:r>
      <w:r>
        <w:rPr>
          <w:rFonts w:ascii="微软雅黑" w:hAnsi="微软雅黑" w:eastAsia="微软雅黑"/>
          <w:color w:val="1A1A1A"/>
          <w:sz w:val="22"/>
        </w:rPr>
        <w:t>较上一时段，领涨板块从“次新股、有色金属、电子器件”完全替换为“教育运营及其他（+9.11%）、种子（+6.90%）、其他种植业（+6.91%）”，这是非常典型的主题快速切换。资金从科技硬件转向农业+半导体材料，同时叠加集成电路制造（+5.42%）、PCB（+4.90%）等硬科技接力，说明市场处于“题材进攻”而非“权重防御”模式，但轮动过快导致主线分散，追涨成本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背离警示：</w:t>
      </w:r>
      <w:r>
        <w:rPr>
          <w:rFonts w:ascii="微软雅黑" w:hAnsi="微软雅黑" w:eastAsia="微软雅黑"/>
          <w:color w:val="1A1A1A"/>
          <w:sz w:val="22"/>
        </w:rPr>
        <w:t>成交额放量26.7%，但创业板指和科创50涨速同步放缓，量价呈现“背离放大”——放量不加速，意味着分歧加剧，资金在当前位置大规模交换筹码。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模块四：内外联动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外部共识看空与内盘逆势走强形成强背离，但背离的“质量”是存疑的：微弱信号占比高，外部指引意义有限，核心矛盾还是南向资金的持续分流。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Python预计算复核：</w:t>
      </w:r>
      <w:r>
        <w:rPr>
          <w:rFonts w:ascii="微软雅黑" w:hAnsi="微软雅黑" w:eastAsia="微软雅黑"/>
          <w:color w:val="1A1A1A"/>
          <w:sz w:val="22"/>
        </w:rPr>
        <w:t>恒生指数-0.31%、恒生科技-0.08%、离岸人民币-0.03%，三个信号中两个实际涨跌幅均未超过0.3%，属于“微弱信号”，只有恒生指数-0.31%勉强达到弱看空线。因此，Python给出的“0看多/2看空、一致性分数-2.7”权重过高，外部联动信号实际偏弱，不应过度解读为外资风险偏好恶化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真实信号优先级：</w:t>
      </w:r>
      <w:r>
        <w:rPr>
          <w:rFonts w:ascii="微软雅黑" w:hAnsi="微软雅黑" w:eastAsia="微软雅黑"/>
          <w:color w:val="1A1A1A"/>
          <w:sz w:val="22"/>
        </w:rPr>
        <w:t>按“幅度&gt;0.3%才纳入有效”的原则，仅恒生指数有效偏空，恒生科技和离岸人民币几乎持平，外盘对A股的压制力不强。内盘上证+0.84%的走势更多由内资和题材资金驱动，而非外部联动。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南向资金：</w:t>
      </w:r>
      <w:r>
        <w:rPr>
          <w:rFonts w:ascii="微软雅黑" w:hAnsi="微软雅黑" w:eastAsia="微软雅黑"/>
          <w:color w:val="1A1A1A"/>
          <w:sz w:val="22"/>
        </w:rPr>
        <w:t>南向净买入30.72亿，较上一时段+12.6亿，属于“大幅净流入”。这一指标对A股而言是情绪反向信号——内资在A股冲高之际选择加大南下配置港股，说明短线内资对A股高位追涨有所保留，部分资金在逐步兑现A股收益流向港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结论：</w:t>
      </w:r>
      <w:r>
        <w:rPr>
          <w:rFonts w:ascii="微软雅黑" w:hAnsi="微软雅黑" w:eastAsia="微软雅黑"/>
          <w:color w:val="1A1A1A"/>
          <w:sz w:val="22"/>
        </w:rPr>
        <w:t>外部联动偏弱、南向分流偏强，内外资分歧仍然存在，A股午后独立走强更多是题材热度和散户追涨情绪的延续，而非外资回流推动。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模块五：持续性评估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市场宽度扩张但追涨赔率正在恶化，午后14:00时段的可持续性取决于量能能否维持以及涨停溢价能否修复，目前信号偏谨慎。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宽度变化：</w:t>
      </w:r>
      <w:r>
        <w:rPr>
          <w:rFonts w:ascii="微软雅黑" w:hAnsi="微软雅黑" w:eastAsia="微软雅黑"/>
          <w:color w:val="1A1A1A"/>
          <w:sz w:val="22"/>
        </w:rPr>
        <w:t>上涨占比从昨日48%升至今日62.8%，改善+22pp，说明多数个股今日录得正收益，市场宽度正常扩张，尚未进入极端过热区间（&gt;80%），也未出现极端收缩。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涨停溢价：</w:t>
      </w:r>
      <w:r>
        <w:rPr>
          <w:rFonts w:ascii="微软雅黑" w:hAnsi="微软雅黑" w:eastAsia="微软雅黑"/>
          <w:color w:val="1A1A1A"/>
          <w:sz w:val="22"/>
        </w:rPr>
        <w:t>昨日涨停板溢价率中位数仅+0.4%，收益几乎为零，说明打板策略处于盈亏平衡状态，追高策略风险收益比差。今日涨停仅17家，且龙虎榜中部分高位股（如养元饮品-21.76%、华瑞股份-17.24%）出现显著回撤，表明高位股兑现压力大，接力资金不积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量能持续性：</w:t>
      </w:r>
      <w:r>
        <w:rPr>
          <w:rFonts w:ascii="微软雅黑" w:hAnsi="微软雅黑" w:eastAsia="微软雅黑"/>
          <w:color w:val="1A1A1A"/>
          <w:sz w:val="22"/>
        </w:rPr>
        <w:t>午后放量26.7%是积极信号，但若尾盘量能无法延续放大，今日放量可能沦为“高位换手”，次日回落概率将上升。目前判断为“动能衰竭前兆”，非趋势反转，但警惕主力借放量完成派发。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模块六：红黄绿灯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当前信号组合：黄灯主导，无红灯触发、无绿灯确认，市场处于“可持股但不宜追涨”的博弈区。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🔴</w:t>
      </w:r>
      <w:r>
        <w:rPr>
          <w:rFonts w:ascii="微软雅黑" w:hAnsi="微软雅黑" w:eastAsia="微软雅黑"/>
          <w:b/>
          <w:color w:val="D29922"/>
          <w:sz w:val="22"/>
        </w:rPr>
        <w:t>红灯：</w:t>
      </w:r>
      <w:r>
        <w:rPr>
          <w:rFonts w:ascii="微软雅黑" w:hAnsi="微软雅黑" w:eastAsia="微软雅黑"/>
          <w:color w:val="1A1A1A"/>
          <w:sz w:val="22"/>
        </w:rPr>
        <w:t>暂无触发。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🟡</w:t>
      </w:r>
      <w:r>
        <w:rPr>
          <w:rFonts w:ascii="微软雅黑" w:hAnsi="微软雅黑" w:eastAsia="微软雅黑"/>
          <w:b/>
          <w:color w:val="D29922"/>
          <w:sz w:val="22"/>
        </w:rPr>
        <w:t>黄灯：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南向净买入31亿+：</w:t>
      </w:r>
      <w:r>
        <w:rPr>
          <w:rFonts w:ascii="微软雅黑" w:hAnsi="微软雅黑" w:eastAsia="微软雅黑"/>
          <w:color w:val="1A1A1A"/>
          <w:sz w:val="22"/>
        </w:rPr>
        <w:t>内资逆势南下，A股短线增量资金面临分流，追涨弹药受限。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外部弱背离：</w:t>
      </w:r>
      <w:r>
        <w:rPr>
          <w:rFonts w:ascii="微软雅黑" w:hAnsi="微软雅黑" w:eastAsia="微软雅黑"/>
          <w:color w:val="1A1A1A"/>
          <w:sz w:val="22"/>
        </w:rPr>
        <w:t>恒生指数等外部偏弱、上证逆势走强，短期偏多但存在补跌或滞涨风险，需防外盘夜盘转弱引发的次日低开。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板块轮动加速：</w:t>
      </w:r>
      <w:r>
        <w:rPr>
          <w:rFonts w:ascii="微软雅黑" w:hAnsi="微软雅黑" w:eastAsia="微软雅黑"/>
          <w:color w:val="1A1A1A"/>
          <w:sz w:val="22"/>
        </w:rPr>
        <w:t>领涨板块完全替换，主线承载力下降，追涨容易被“一日游”模式套牢。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🟢</w:t>
      </w:r>
      <w:r>
        <w:rPr>
          <w:rFonts w:ascii="微软雅黑" w:hAnsi="微软雅黑" w:eastAsia="微软雅黑"/>
          <w:b/>
          <w:color w:val="D29922"/>
          <w:sz w:val="22"/>
        </w:rPr>
        <w:t>绿灯：</w:t>
      </w:r>
      <w:r>
        <w:rPr>
          <w:rFonts w:ascii="微软雅黑" w:hAnsi="微软雅黑" w:eastAsia="微软雅黑"/>
          <w:color w:val="1A1A1A"/>
          <w:sz w:val="22"/>
        </w:rPr>
        <w:t>暂无触发。涨跌比健康、涨停未现跌停，但宽度优势尚未转化为明确的赚钱效应增强信号。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