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 股量化报告 — 收盘报告</w:t>
      </w:r>
    </w:p>
    <w:p>
      <w:pPr>
        <w:jc w:val="center"/>
      </w:pPr>
      <w:r>
        <w:rPr>
          <w:color w:val="8B949E"/>
          <w:sz w:val="20"/>
        </w:rPr>
        <w:t>2026-09-04  |  模型: DeepSeek  |  量化交易视角</w:t>
      </w:r>
    </w:p>
    <w:p>
      <w:pPr>
        <w:pStyle w:val="Heading2"/>
      </w:pPr>
      <w:r>
        <w:t>核心指标速览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指数</w:t>
            </w:r>
          </w:p>
        </w:tc>
        <w:tc>
          <w:tcPr>
            <w:tcW w:type="dxa" w:w="2160"/>
          </w:tcPr>
          <w:p>
            <w:r>
              <w:t>点位</w:t>
            </w:r>
          </w:p>
        </w:tc>
        <w:tc>
          <w:tcPr>
            <w:tcW w:type="dxa" w:w="2160"/>
          </w:tcPr>
          <w:p>
            <w:r>
              <w:t>涨跌幅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上证指数</w:t>
            </w:r>
          </w:p>
        </w:tc>
        <w:tc>
          <w:tcPr>
            <w:tcW w:type="dxa" w:w="2160"/>
          </w:tcPr>
          <w:p>
            <w:r>
              <w:t>3930.51</w:t>
            </w:r>
          </w:p>
        </w:tc>
        <w:tc>
          <w:tcPr>
            <w:tcW w:type="dxa" w:w="2160"/>
          </w:tcPr>
          <w:p>
            <w:r>
              <w:t>-0.29%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深证成指</w:t>
            </w:r>
          </w:p>
        </w:tc>
        <w:tc>
          <w:tcPr>
            <w:tcW w:type="dxa" w:w="2160"/>
          </w:tcPr>
          <w:p>
            <w:r>
              <w:t>13521.04</w:t>
            </w:r>
          </w:p>
        </w:tc>
        <w:tc>
          <w:tcPr>
            <w:tcW w:type="dxa" w:w="2160"/>
          </w:tcPr>
          <w:p>
            <w:r>
              <w:t>-0.76%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创业板指</w:t>
            </w:r>
          </w:p>
        </w:tc>
        <w:tc>
          <w:tcPr>
            <w:tcW w:type="dxa" w:w="2160"/>
          </w:tcPr>
          <w:p>
            <w:r>
              <w:t>3289.00</w:t>
            </w:r>
          </w:p>
        </w:tc>
        <w:tc>
          <w:tcPr>
            <w:tcW w:type="dxa" w:w="2160"/>
          </w:tcPr>
          <w:p>
            <w:r>
              <w:t>-0.71%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科创50</w:t>
            </w:r>
          </w:p>
        </w:tc>
        <w:tc>
          <w:tcPr>
            <w:tcW w:type="dxa" w:w="2160"/>
          </w:tcPr>
          <w:p>
            <w:r>
              <w:t>1578.89</w:t>
            </w:r>
          </w:p>
        </w:tc>
        <w:tc>
          <w:tcPr>
            <w:tcW w:type="dxa" w:w="2160"/>
          </w:tcPr>
          <w:p>
            <w:r>
              <w:t>-2.00%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沪深300</w:t>
            </w:r>
          </w:p>
        </w:tc>
        <w:tc>
          <w:tcPr>
            <w:tcW w:type="dxa" w:w="2160"/>
          </w:tcPr>
          <w:p>
            <w:r>
              <w:t>4549.12</w:t>
            </w:r>
          </w:p>
        </w:tc>
        <w:tc>
          <w:tcPr>
            <w:tcW w:type="dxa" w:w="2160"/>
          </w:tcPr>
          <w:p>
            <w:r>
              <w:t>-0.08%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中证500</w:t>
            </w:r>
          </w:p>
        </w:tc>
        <w:tc>
          <w:tcPr>
            <w:tcW w:type="dxa" w:w="2160"/>
          </w:tcPr>
          <w:p>
            <w:r>
              <w:t>7653.11</w:t>
            </w:r>
          </w:p>
        </w:tc>
        <w:tc>
          <w:tcPr>
            <w:tcW w:type="dxa" w:w="2160"/>
          </w:tcPr>
          <w:p>
            <w:r>
              <w:t>-1.32%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</w:rPr>
        <w:t>外资监测</w:t>
      </w:r>
    </w:p>
    <w:p>
      <w:r>
        <w:t xml:space="preserve">  南向资金：净卖出 81.5 亿（港股通，A股情绪反向指标）</w:t>
      </w:r>
      <w:r>
        <w:rPr>
          <w:color w:val="8B949E"/>
          <w:sz w:val="18"/>
        </w:rPr>
        <w:br/>
        <w:t xml:space="preserve">  注：北向净买入自2024年证监会新规后不再公开发布，外资监测由南向资金+外部联动构成</w:t>
      </w:r>
    </w:p>
    <w:p>
      <w:r>
        <w:rPr>
          <w:b/>
        </w:rPr>
        <w:t>大资金方向（替代两融）：</w:t>
      </w:r>
      <w:r>
        <w:t>30 股聚合净流入 28.46 亿  |  大单净 30.0 亿  |  涨家 18 / 跌家 12</w:t>
      </w:r>
      <w:r>
        <w:rPr>
          <w:color w:val="8B949E"/>
          <w:sz w:val="18"/>
        </w:rPr>
        <w:br/>
        <w:t>注：数据来自新浪资金流（大单/特大单估算），非融资融券官方数据，仅供参考大资金方向</w:t>
      </w:r>
    </w:p>
    <w:p>
      <w:r>
        <w:rPr>
          <w:b/>
        </w:rPr>
        <w:t>宏观数据：</w:t>
      </w:r>
      <w:r>
        <w:t>CPI 0.5%  |  PPI 3.5%  |  PMI 49.2  |  M2 8.0%  |  LPR 1Y 3.0%</w:t>
      </w:r>
    </w:p>
    <w:p/>
    <w:p>
      <w:pPr>
        <w:pStyle w:val="Heading2"/>
      </w:pPr>
      <w:r>
        <w:t>量化分析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一、市场概览</w:t>
      </w:r>
    </w:p>
    <w:p>
      <w:pPr>
        <w:spacing w:after="120"/>
      </w:pPr>
      <w:r>
        <w:rPr>
          <w:rFonts w:ascii="微软雅黑" w:hAnsi="微软雅黑" w:eastAsia="微软雅黑"/>
          <w:b/>
          <w:color w:val="D29922"/>
          <w:sz w:val="22"/>
        </w:rPr>
        <w:t>本时段核心变化是：尾盘一小时放量加速杀跌，科创50领跌2%确认弱势结构，防御性板块（酿酒/农业/船舶）逆势普涨，市场风险偏好急剧收敛。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全天上证收于3930.51点跌0.29%，沪指较上一时段加速下跌0.36pp，但昨日同期为-0.17pp，显示权重板块存在一定承接；而深证、创业板、中证500、科创50同步加速下行，其中科创50较上一时段加速0.61pp、较昨日同期加速1.65pp，成长板块明确进入弱势通道。沪深300仅微跌0.08%，大盘蓝筹与中小成长分化显著，资金从高波动资产撤离，转而锁定确定性。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成交额20117亿，较上一时段放量27.0%，较昨日同期放量15.5%。全天量能显著放大叠加尾盘加速下跌，属于典型的量增价跌，市场抛压释放不完全，短期仍有消化压力。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二、核心指标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涨跌比</w:t>
      </w:r>
      <w:r>
        <w:rPr>
          <w:rFonts w:ascii="微软雅黑" w:hAnsi="微软雅黑" w:eastAsia="微软雅黑"/>
          <w:color w:val="1A1A1A"/>
          <w:sz w:val="22"/>
        </w:rPr>
        <w:t>：全市场1000只样本中，上涨336只（33.6%）、下跌650只（65.0%），涨跌比0.52，市场宽度明显偏向空头。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涨跌停对比</w:t>
      </w:r>
      <w:r>
        <w:rPr>
          <w:rFonts w:ascii="微软雅黑" w:hAnsi="微软雅黑" w:eastAsia="微软雅黑"/>
          <w:color w:val="1A1A1A"/>
          <w:sz w:val="22"/>
        </w:rPr>
        <w:t>：统计口径内涨停仅3家、跌停3家，赚钱效应与亏钱效应均处于收缩状态。实际涨幅榜中大量10cm涨停集中在农业和食品方向，而跌幅榜以电子/科技硬件为主，方向分化明确。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成交额</w:t>
      </w:r>
      <w:r>
        <w:rPr>
          <w:rFonts w:ascii="微软雅黑" w:hAnsi="微软雅黑" w:eastAsia="微软雅黑"/>
          <w:color w:val="1A1A1A"/>
          <w:sz w:val="22"/>
        </w:rPr>
        <w:t>：20117亿，较上一时段+27.0%，较昨日同期+15.5%，放量下跌，动能方向偏空。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南向资金（港股通）</w:t>
      </w:r>
      <w:r>
        <w:rPr>
          <w:rFonts w:ascii="微软雅黑" w:hAnsi="微软雅黑" w:eastAsia="微软雅黑"/>
          <w:color w:val="1A1A1A"/>
          <w:sz w:val="22"/>
        </w:rPr>
        <w:t>：净卖出81.5亿，较上一时段增加16.2亿净卖出，较昨日同期增加130.6亿（即从净流入转为大幅净卖出）。南向大幅净流出，按二维框架看，内资回流意愿不在A股（结合A股尾盘放量下跌，实际上更可能是避险型撤离），信号偏空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外部联动</w:t>
      </w:r>
      <w:r>
        <w:rPr>
          <w:rFonts w:ascii="微软雅黑" w:hAnsi="微软雅黑" w:eastAsia="微软雅黑"/>
          <w:color w:val="1A1A1A"/>
          <w:sz w:val="22"/>
        </w:rPr>
        <w:t>：恒生科技+1.93%、恒生指数+1.75%、离岸人民币-0.13%（升值），外部一致看多，共识评分6.9（强），</w:t>
      </w:r>
      <w:r>
        <w:rPr>
          <w:rFonts w:ascii="微软雅黑" w:hAnsi="微软雅黑" w:eastAsia="微软雅黑"/>
          <w:b/>
          <w:color w:val="D29922"/>
          <w:sz w:val="22"/>
        </w:rPr>
        <w:t>与A股内部走势形成显著背离</w:t>
      </w:r>
      <w:r>
        <w:rPr>
          <w:rFonts w:ascii="微软雅黑" w:hAnsi="微软雅黑" w:eastAsia="微软雅黑"/>
          <w:color w:val="1A1A1A"/>
          <w:sz w:val="22"/>
        </w:rPr>
        <w:t>——外部风险偏好良好但A股内部在放量杀跌，说明问题出在内部结构性出清，而非外部冲击。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三、板块热点</w:t>
      </w:r>
    </w:p>
    <w:p>
      <w:pPr>
        <w:spacing w:after="120"/>
      </w:pPr>
      <w:r>
        <w:rPr>
          <w:rFonts w:ascii="微软雅黑" w:hAnsi="微软雅黑" w:eastAsia="微软雅黑"/>
          <w:b/>
          <w:color w:val="D29922"/>
          <w:sz w:val="22"/>
        </w:rPr>
        <w:t>领涨板块</w:t>
      </w:r>
      <w:r>
        <w:rPr>
          <w:rFonts w:ascii="微软雅黑" w:hAnsi="微软雅黑" w:eastAsia="微软雅黑"/>
          <w:color w:val="1A1A1A"/>
          <w:sz w:val="22"/>
        </w:rPr>
        <w:t>：酿酒行业+1.78%居首，船舶制造+0.71%、农林牧渔+0.30%、飞机制造+0.27%、酒店旅游+0.14%涨幅靠前。酿酒行业内古越龙山+10.06%、会稽山+10.01%涨停，白酒产业链集体异动，验证资金从科技向防御消费的迁移。船舶制造板块中国船舶+9.15%领涨，海工装备逻辑持续。</w:t>
      </w:r>
    </w:p>
    <w:p>
      <w:pPr>
        <w:spacing w:after="120"/>
      </w:pPr>
      <w:r>
        <w:rPr>
          <w:rFonts w:ascii="微软雅黑" w:hAnsi="微软雅黑" w:eastAsia="微软雅黑"/>
          <w:b/>
          <w:color w:val="D29922"/>
          <w:sz w:val="22"/>
        </w:rPr>
        <w:t>杀跌板块</w:t>
      </w:r>
      <w:r>
        <w:rPr>
          <w:rFonts w:ascii="微软雅黑" w:hAnsi="微软雅黑" w:eastAsia="微软雅黑"/>
          <w:color w:val="1A1A1A"/>
          <w:sz w:val="22"/>
        </w:rPr>
        <w:t>：次新股-2.46%领跌，电子器件-0.70%、有色金属-0.54%、化工-0.26%、玻璃-0.26%跟跌。次新股的回调与连板高度收缩互相验证，市场投机情绪退潮。电子器件板块中浪潮信息跌停、国科微-9.97%、宏和科技-10.00%，科技硬件遭遇集中抛售。</w:t>
      </w:r>
    </w:p>
    <w:p>
      <w:pPr>
        <w:spacing w:after="120"/>
      </w:pPr>
      <w:r>
        <w:rPr>
          <w:rFonts w:ascii="微软雅黑" w:hAnsi="微软雅黑" w:eastAsia="微软雅黑"/>
          <w:b/>
          <w:color w:val="D29922"/>
          <w:sz w:val="22"/>
        </w:rPr>
        <w:t>板块快速轮动警示</w:t>
      </w:r>
      <w:r>
        <w:rPr>
          <w:rFonts w:ascii="微软雅黑" w:hAnsi="微软雅黑" w:eastAsia="微软雅黑"/>
          <w:color w:val="1A1A1A"/>
          <w:sz w:val="22"/>
        </w:rPr>
        <w:t>：较昨日同期，领涨板块完全替换，从陶瓷、家具、次新股切换为船舶制造、农林牧渔、酿酒——防御性板块集中接力，后市若防御板块无法带动指数企稳，则属于弱市轮动，持续性存疑。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四、技术信号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上证指数</w:t>
      </w:r>
      <w:r>
        <w:rPr>
          <w:rFonts w:ascii="微软雅黑" w:hAnsi="微软雅黑" w:eastAsia="微软雅黑"/>
          <w:color w:val="1A1A1A"/>
          <w:sz w:val="22"/>
        </w:rPr>
        <w:t>：收于3930.51，开盘3955.55，全天高开低走，形成倒T型收盘，收盘价显著偏离日内均线，空头压制明确。日线级别MA5/MA10构筑短线压力。MACD红柱缩短，RSI从偏强区域向50下方回撤，KDJ高位死叉向下，动能已由强转弱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深证成指</w:t>
      </w:r>
      <w:r>
        <w:rPr>
          <w:rFonts w:ascii="微软雅黑" w:hAnsi="微软雅黑" w:eastAsia="微软雅黑"/>
          <w:color w:val="1A1A1A"/>
          <w:sz w:val="22"/>
        </w:rPr>
        <w:t>：-0.76%收于13521，较上一时段加速0.50pp，日线MACD绿柱扩大，RSI跌破中轴，短线趋势转弱。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创业板指</w:t>
      </w:r>
      <w:r>
        <w:rPr>
          <w:rFonts w:ascii="微软雅黑" w:hAnsi="微软雅黑" w:eastAsia="微软雅黑"/>
          <w:color w:val="1A1A1A"/>
          <w:sz w:val="22"/>
        </w:rPr>
        <w:t>：-0.71%收于3289，跌破3300整数关口，量能温和放大，KDJ三线向下发散，短线无止跌迹象。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科创50</w:t>
      </w:r>
      <w:r>
        <w:rPr>
          <w:rFonts w:ascii="微软雅黑" w:hAnsi="微软雅黑" w:eastAsia="微软雅黑"/>
          <w:color w:val="1A1A1A"/>
          <w:sz w:val="22"/>
        </w:rPr>
        <w:t>：-2.00%收于1578.89，跌幅居首，收盘价接近全日低位，MACD死叉后绿柱持续扩大，RSI进入弱势区间，</w:t>
      </w:r>
      <w:r>
        <w:rPr>
          <w:rFonts w:ascii="微软雅黑" w:hAnsi="微软雅黑" w:eastAsia="微软雅黑"/>
          <w:b/>
          <w:color w:val="D29922"/>
          <w:sz w:val="22"/>
        </w:rPr>
        <w:t>跌破关键支撑位后下行空间打开</w:t>
      </w:r>
      <w:r>
        <w:rPr>
          <w:rFonts w:ascii="微软雅黑" w:hAnsi="微软雅黑" w:eastAsia="微软雅黑"/>
          <w:color w:val="1A1A1A"/>
          <w:sz w:val="22"/>
        </w:rPr>
        <w:t>，对成长类资产情绪锚定作用强烈，是明日的核心观察点。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中证500</w:t>
      </w:r>
      <w:r>
        <w:rPr>
          <w:rFonts w:ascii="微软雅黑" w:hAnsi="微软雅黑" w:eastAsia="微软雅黑"/>
          <w:color w:val="1A1A1A"/>
          <w:sz w:val="22"/>
        </w:rPr>
        <w:t>：-1.32%收于7653.11，中盘股同步走弱，说明中小市值的抛压并非孤例，而是系统性去风险。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五、量化视角</w:t>
      </w:r>
    </w:p>
    <w:p>
      <w:pPr>
        <w:spacing w:after="120"/>
      </w:pPr>
      <w:r>
        <w:rPr>
          <w:rFonts w:ascii="微软雅黑" w:hAnsi="微软雅黑" w:eastAsia="微软雅黑"/>
          <w:b/>
          <w:color w:val="D29922"/>
          <w:sz w:val="22"/>
        </w:rPr>
        <w:t>资金流向</w:t>
      </w:r>
      <w:r>
        <w:rPr>
          <w:rFonts w:ascii="微软雅黑" w:hAnsi="微软雅黑" w:eastAsia="微软雅黑"/>
          <w:color w:val="1A1A1A"/>
          <w:sz w:val="22"/>
        </w:rPr>
        <w:t>：新浪资金流抽样30条显示大单净额总计28.46亿（大单净流入），但这与指数放量下跌的表现相互矛盾，说明该数据的样本覆盖有限，不可作为看多的依据。更可靠的是南向净流出81.5亿叠加放量下跌，大资金在离场而非布局。</w:t>
      </w:r>
    </w:p>
    <w:p>
      <w:pPr>
        <w:spacing w:after="120"/>
      </w:pPr>
      <w:r>
        <w:rPr>
          <w:rFonts w:ascii="微软雅黑" w:hAnsi="微软雅黑" w:eastAsia="微软雅黑"/>
          <w:b/>
          <w:color w:val="D29922"/>
          <w:sz w:val="22"/>
        </w:rPr>
        <w:t>量价关系</w:t>
      </w:r>
      <w:r>
        <w:rPr>
          <w:rFonts w:ascii="微软雅黑" w:hAnsi="微软雅黑" w:eastAsia="微软雅黑"/>
          <w:color w:val="1A1A1A"/>
          <w:sz w:val="22"/>
        </w:rPr>
        <w:t>：全市场成交额20117亿，较上一时段+27.0%是显著放量，但指数加速下跌，量增价跌是明确的空头信号。沪深300仅跌0.08%，说明资金在尾盘集中向大盘蓝筹防守，而科创50、中证500这类弹性品种被抛售，市场在做“高低切换”的风险对冲。</w:t>
      </w:r>
    </w:p>
    <w:p>
      <w:pPr>
        <w:spacing w:after="120"/>
      </w:pPr>
      <w:r>
        <w:rPr>
          <w:rFonts w:ascii="微软雅黑" w:hAnsi="微软雅黑" w:eastAsia="微软雅黑"/>
          <w:b/>
          <w:color w:val="D29922"/>
          <w:sz w:val="22"/>
        </w:rPr>
        <w:t>市场宽度分析</w:t>
      </w:r>
      <w:r>
        <w:rPr>
          <w:rFonts w:ascii="微软雅黑" w:hAnsi="微软雅黑" w:eastAsia="微软雅黑"/>
          <w:color w:val="1A1A1A"/>
          <w:sz w:val="22"/>
        </w:rPr>
        <w:t>：上涨336/下跌650，涨跌比仅0.52。即便在指数层面沪指仅跌0.29%，但实际多数个股处于调整状态，今天是典型的权重护盘、个股普跌格局。市场宽度持续收窄时，短线交易难度快速上升，赚钱效应持续恶化。</w:t>
      </w:r>
    </w:p>
    <w:p>
      <w:pPr>
        <w:spacing w:after="120"/>
      </w:pPr>
      <w:r>
        <w:rPr>
          <w:rFonts w:ascii="微软雅黑" w:hAnsi="微软雅黑" w:eastAsia="微软雅黑"/>
          <w:b/>
          <w:color w:val="D29922"/>
          <w:sz w:val="22"/>
        </w:rPr>
        <w:t>龙虎榜信号</w:t>
      </w:r>
      <w:r>
        <w:rPr>
          <w:rFonts w:ascii="微软雅黑" w:hAnsi="微软雅黑" w:eastAsia="微软雅黑"/>
          <w:color w:val="1A1A1A"/>
          <w:sz w:val="22"/>
        </w:rPr>
        <w:t>：神农种业+38.12%、欢瑞世纪+40.47%等品种上榜，均来自农牧/传媒方向，显示短线资金在局部维持活跃。但我爱我家跌停上榜（-10.05%），印证前期强势的地产链品种已经开始退潮。N华汇+111.69%为新股无参考意义。龙虎榜显示资金并未完全离场，而是从高位题材撤出，转向低位补涨方向，短线情绪存在结构性机会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六、宏观背景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宏观数据表面偏中性，但结构性矛盾突出。CPI同比+0.5%（前值1.0%）显著回落，PPI同比+3.5%（前值4.1%）同步收窄，制造业PMI 49.2位于荣枯线以下，经济动能仍偏弱。社融增速7.4%、M2增速8.0%，货币端保持稳健但信用扩张乏力。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政策面上，LPR连续14个月不变，7天逆回购1.4%，央行短期无意进一步降息。在经济动能回落但通胀压力仍存（PPI偏高）的背景下，政策空间没有动作，市场缺乏宽松预期支撑，叠加A股结构性过热后的技术性回调，短线风险偏好的收缩与宏观节奏是共振的。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外部流动性信号是全场最大变数：恒生指数、恒生科技同步走强，离岸人民币连续升值，道指、纳指在前一交易日集体涨超1%。外部流动性对A股不应该是负向的，但今天A股内部选择走弱，说明市场在提前计价某种内部因素与微观结构的出清，这一点需要高度警惕——外部强+A股弱比内外双弱更危险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七、风险提示</w:t>
      </w:r>
    </w:p>
    <w:p>
      <w:pPr>
        <w:spacing w:after="120"/>
      </w:pPr>
      <w:r>
        <w:rPr>
          <w:rFonts w:ascii="微软雅黑" w:hAnsi="微软雅黑" w:eastAsia="微软雅黑"/>
          <w:b/>
          <w:color w:val="D29922"/>
          <w:sz w:val="22"/>
        </w:rPr>
        <w:t>1. 量价背离与外内背离叠加的风险</w:t>
      </w:r>
      <w:r>
        <w:rPr>
          <w:rFonts w:ascii="微软雅黑" w:hAnsi="微软雅黑" w:eastAsia="微软雅黑"/>
          <w:color w:val="1A1A1A"/>
          <w:sz w:val="22"/>
        </w:rPr>
        <w:t>：外部一致看多（共识6.9强）而A股内部放量下跌，这种背离不会永远持续。存在两种演化：要么是A股内部情绪修复，跟上外部节奏；要么是外部利好被A股无视后，进一步强化内部看空逻辑，导致更深的下跌。当前技术面偏空，后者概率不低。</w:t>
      </w:r>
    </w:p>
    <w:p>
      <w:pPr>
        <w:spacing w:after="120"/>
      </w:pPr>
      <w:r>
        <w:rPr>
          <w:rFonts w:ascii="微软雅黑" w:hAnsi="微软雅黑" w:eastAsia="微软雅黑"/>
          <w:b/>
          <w:color w:val="D29922"/>
          <w:sz w:val="22"/>
        </w:rPr>
        <w:t>2. 高弹性品种的补跌风险</w:t>
      </w:r>
      <w:r>
        <w:rPr>
          <w:rFonts w:ascii="微软雅黑" w:hAnsi="微软雅黑" w:eastAsia="微软雅黑"/>
          <w:color w:val="1A1A1A"/>
          <w:sz w:val="22"/>
        </w:rPr>
        <w:t>：科创50跌2%已打开下行空间，但中证500、创业板仍未出现明显的止跌信号。若明日科创50继续跌超1%，将引发成长板块新一轮系统性减仓，低位承接的风险很大。</w:t>
      </w:r>
    </w:p>
    <w:p>
      <w:pPr>
        <w:spacing w:after="120"/>
      </w:pPr>
      <w:r>
        <w:rPr>
          <w:rFonts w:ascii="微软雅黑" w:hAnsi="微软雅黑" w:eastAsia="微软雅黑"/>
          <w:b/>
          <w:color w:val="D29922"/>
          <w:sz w:val="22"/>
        </w:rPr>
        <w:t>3. 防御板块拥挤交易</w:t>
      </w:r>
      <w:r>
        <w:rPr>
          <w:rFonts w:ascii="微软雅黑" w:hAnsi="微软雅黑" w:eastAsia="微软雅黑"/>
          <w:color w:val="1A1A1A"/>
          <w:sz w:val="22"/>
        </w:rPr>
        <w:t>：酿酒、农业、船舶在弱市中逆势上涨，本质是避险交易。当防御方向开始加速上行、涨停家数膨胀时，往往意味着市场整体已经切换到Risk-off，此时追防守板块存在先手资金兑现的接盘风险。</w:t>
      </w:r>
    </w:p>
    <w:p>
      <w:pPr>
        <w:spacing w:after="120"/>
      </w:pPr>
      <w:r>
        <w:rPr>
          <w:rFonts w:ascii="微软雅黑" w:hAnsi="微软雅黑" w:eastAsia="微软雅黑"/>
          <w:b/>
          <w:color w:val="D29922"/>
          <w:sz w:val="22"/>
        </w:rPr>
        <w:t>4. 连板梯队坍塌风险</w:t>
      </w:r>
      <w:r>
        <w:rPr>
          <w:rFonts w:ascii="微软雅黑" w:hAnsi="微软雅黑" w:eastAsia="微软雅黑"/>
          <w:color w:val="1A1A1A"/>
          <w:sz w:val="22"/>
        </w:rPr>
        <w:t>：今日实际涨停仅3家，以次新股为锚的投机梯队基本瓦解。一旦明日连板高度继续收缩，短线情绪可能由快速轮动转入冰点，届时全市场无有效主线，指数将继续走弱。</w:t>
      </w:r>
    </w:p>
    <w:p>
      <w:pPr>
        <w:spacing w:after="120"/>
      </w:pPr>
      <w:r>
        <w:rPr>
          <w:rFonts w:ascii="微软雅黑" w:hAnsi="微软雅黑" w:eastAsia="微软雅黑"/>
          <w:b/>
          <w:color w:val="D29922"/>
          <w:sz w:val="22"/>
        </w:rPr>
        <w:t>明日关注</w:t>
      </w:r>
      <w:r>
        <w:rPr>
          <w:rFonts w:ascii="微软雅黑" w:hAnsi="微软雅黑" w:eastAsia="微软雅黑"/>
          <w:color w:val="1A1A1A"/>
          <w:sz w:val="22"/>
        </w:rPr>
        <w:t>：上证指数3900-3920支撑区间的有效性；科创50 1550-1560能否止跌；酿酒/农业板块的延续性；每日披露的南向资金是否进一步大幅净卖出（若南向继续净卖出额超过50亿，说明内资仍在撤离，将强化调整预期）；以及外部联动能否延续看多并最终传导至A股。以上均为信号观察，不构成操作依据。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—— 免责声明：本报告由AI自动生成，仅供参考，不构成任何投资建议。投资有风险，入市需谨慎。报告中的数据来源于公开接口，不对其准确性做任何保证。</w:t>
      </w:r>
    </w:p>
    <w:p/>
    <w:p>
      <w:r>
        <w:rPr>
          <w:color w:val="8B949E"/>
          <w:sz w:val="16"/>
        </w:rPr>
        <w:t>⚠️ 免责声明：本报告由 AI 自动生成，仅供参考，不构成任何投资建议。投资有风险，入市需谨慎。报告中的数据来源于公开接口，不对其准确性做任何保证。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