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 股量化报告 — 收盘报告</w:t>
      </w:r>
    </w:p>
    <w:p>
      <w:pPr>
        <w:jc w:val="center"/>
      </w:pPr>
      <w:r>
        <w:rPr>
          <w:color w:val="8B949E"/>
          <w:sz w:val="20"/>
        </w:rPr>
        <w:t>2026-07-31  |  模型: DeepSeek  |  量化交易视角</w:t>
      </w:r>
    </w:p>
    <w:p>
      <w:pPr>
        <w:pStyle w:val="Heading2"/>
      </w:pPr>
      <w:r>
        <w:t>核心指标速览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指数</w:t>
            </w:r>
          </w:p>
        </w:tc>
        <w:tc>
          <w:tcPr>
            <w:tcW w:type="dxa" w:w="2160"/>
          </w:tcPr>
          <w:p>
            <w:r>
              <w:t>点位</w:t>
            </w:r>
          </w:p>
        </w:tc>
        <w:tc>
          <w:tcPr>
            <w:tcW w:type="dxa" w:w="2160"/>
          </w:tcPr>
          <w:p>
            <w:r>
              <w:t>涨跌幅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上证指数</w:t>
            </w:r>
          </w:p>
        </w:tc>
        <w:tc>
          <w:tcPr>
            <w:tcW w:type="dxa" w:w="2160"/>
          </w:tcPr>
          <w:p>
            <w:r>
              <w:t>3833.65</w:t>
            </w:r>
          </w:p>
        </w:tc>
        <w:tc>
          <w:tcPr>
            <w:tcW w:type="dxa" w:w="2160"/>
          </w:tcPr>
          <w:p>
            <w:r>
              <w:t>+0.76%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深证成指</w:t>
            </w:r>
          </w:p>
        </w:tc>
        <w:tc>
          <w:tcPr>
            <w:tcW w:type="dxa" w:w="2160"/>
          </w:tcPr>
          <w:p>
            <w:r>
              <w:t>13705.42</w:t>
            </w:r>
          </w:p>
        </w:tc>
        <w:tc>
          <w:tcPr>
            <w:tcW w:type="dxa" w:w="2160"/>
          </w:tcPr>
          <w:p>
            <w:r>
              <w:t>+3.16%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创业板指</w:t>
            </w:r>
          </w:p>
        </w:tc>
        <w:tc>
          <w:tcPr>
            <w:tcW w:type="dxa" w:w="2160"/>
          </w:tcPr>
          <w:p>
            <w:r>
              <w:t>3408.15</w:t>
            </w:r>
          </w:p>
        </w:tc>
        <w:tc>
          <w:tcPr>
            <w:tcW w:type="dxa" w:w="2160"/>
          </w:tcPr>
          <w:p>
            <w:r>
              <w:t>+5.04%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科创50</w:t>
            </w:r>
          </w:p>
        </w:tc>
        <w:tc>
          <w:tcPr>
            <w:tcW w:type="dxa" w:w="2160"/>
          </w:tcPr>
          <w:p>
            <w:r>
              <w:t>1682.27</w:t>
            </w:r>
          </w:p>
        </w:tc>
        <w:tc>
          <w:tcPr>
            <w:tcW w:type="dxa" w:w="2160"/>
          </w:tcPr>
          <w:p>
            <w:r>
              <w:t>+5.91%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沪深300</w:t>
            </w:r>
          </w:p>
        </w:tc>
        <w:tc>
          <w:tcPr>
            <w:tcW w:type="dxa" w:w="2160"/>
          </w:tcPr>
          <w:p>
            <w:r>
              <w:t>4605.92</w:t>
            </w:r>
          </w:p>
        </w:tc>
        <w:tc>
          <w:tcPr>
            <w:tcW w:type="dxa" w:w="2160"/>
          </w:tcPr>
          <w:p>
            <w:r>
              <w:t>+1.24%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中证500</w:t>
            </w:r>
          </w:p>
        </w:tc>
        <w:tc>
          <w:tcPr>
            <w:tcW w:type="dxa" w:w="2160"/>
          </w:tcPr>
          <w:p>
            <w:r>
              <w:t>7561.47</w:t>
            </w:r>
          </w:p>
        </w:tc>
        <w:tc>
          <w:tcPr>
            <w:tcW w:type="dxa" w:w="2160"/>
          </w:tcPr>
          <w:p>
            <w:r>
              <w:t>+3.45%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北向资金：净流出 30.68 亿</w:t>
      </w:r>
      <w:r>
        <w:t xml:space="preserve">  |  沪股通 -9.28 亿  |  数据源: hexin</w:t>
      </w:r>
    </w:p>
    <w:p>
      <w:r>
        <w:rPr>
          <w:b/>
        </w:rPr>
        <w:t>大资金方向（替代两融）：</w:t>
      </w:r>
      <w:r>
        <w:t>30 股聚合净流入 109.82 亿  |  大单净 110.09 亿  |  涨家 25 / 跌家 5</w:t>
      </w:r>
      <w:r>
        <w:rPr>
          <w:color w:val="8B949E"/>
          <w:sz w:val="18"/>
        </w:rPr>
        <w:br/>
        <w:t>注：数据来自新浪资金流（大单/特大单估算），非融资融券官方数据，仅供参考大资金方向</w:t>
      </w:r>
    </w:p>
    <w:p>
      <w:r>
        <w:rPr>
          <w:b/>
        </w:rPr>
        <w:t>宏观数据：</w:t>
      </w:r>
      <w:r>
        <w:t>CPI 1.0%  |  PPI 4.1%  |  PMI 50.3  |  M2 8.0%  |  LPR 1Y 3.0%</w:t>
      </w:r>
    </w:p>
    <w:p/>
    <w:p>
      <w:pPr>
        <w:pStyle w:val="Heading2"/>
      </w:pPr>
      <w:r>
        <w:t>量化分析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📊 市场概览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市场呈现极度亢奋的普涨格局，全市场上涨家数达936家，占比93.6%，且无一家跌停，这是典型的情绪与资金共振的强势信号。成交额放大至1.79万亿，量价配合良好，显示增量资金正在积极入场。资金偏好明显偏向高贝塔的科技成长股，创业板指与科创50涨幅均超5%，而上证指数仅上涨0.76%，结构性分化至极值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📈 核心指标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涨跌比</w:t>
      </w:r>
      <w:r>
        <w:rPr>
          <w:rFonts w:ascii="微软雅黑" w:hAnsi="微软雅黑" w:eastAsia="微软雅黑"/>
          <w:color w:val="1A1A1A"/>
          <w:sz w:val="22"/>
        </w:rPr>
        <w:t>：936 : 60，上涨比例高达93.6%。这一数据接近极值，表明多头力量已得到充分宣泄，短期市场情绪处于沸点状态。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成交额</w:t>
      </w:r>
      <w:r>
        <w:rPr>
          <w:rFonts w:ascii="微软雅黑" w:hAnsi="微软雅黑" w:eastAsia="微软雅黑"/>
          <w:color w:val="1A1A1A"/>
          <w:sz w:val="22"/>
        </w:rPr>
        <w:t>：1.79万亿，较前日显著放大。量能有效配合指数上攻，尤其是在中小盘股上得到确认，属于健康的攻击量。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北向资金</w:t>
      </w:r>
      <w:r>
        <w:rPr>
          <w:rFonts w:ascii="微软雅黑" w:hAnsi="微软雅黑" w:eastAsia="微软雅黑"/>
          <w:color w:val="1A1A1A"/>
          <w:sz w:val="22"/>
        </w:rPr>
        <w:t>：净流出30.68亿元，其中深股通净流出21.4亿元。外资动向与内资形成显著背离，这是一个需要警惕的潜在分歧信号。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资金流（新浪估算）</w:t>
      </w:r>
      <w:r>
        <w:rPr>
          <w:rFonts w:ascii="微软雅黑" w:hAnsi="微软雅黑" w:eastAsia="微软雅黑"/>
          <w:color w:val="1A1A1A"/>
          <w:sz w:val="22"/>
        </w:rPr>
        <w:t>：样本内大单资金净流入110.09亿元，显示主力资金呈明确的主动做多意愿，与北向资金形成对峙。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⚡ 板块热点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领涨主线：科技自主可控与超跌成长。</w:t>
      </w:r>
      <w:r>
        <w:rPr>
          <w:rFonts w:ascii="微软雅黑" w:hAnsi="微软雅黑" w:eastAsia="微软雅黑"/>
          <w:color w:val="1A1A1A"/>
          <w:sz w:val="22"/>
        </w:rPr>
        <w:t>次新股板块以4.23%的涨幅领跑全市场，这通常是情绪牛市的先行指标。电子器件（+1.13%）、电子信息（+0.83%）紧随其后，资金围绕电子、软件、AI应用等方向密集攻击。从个股异动看，中文在线、宏景科技、福昕软件、蓝色光标等AI应用及信创标的批量涨停，表明本轮攻击的核心逻辑依然是“产业趋势+国产替代”。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杀跌板块：防御性及周期类品种承压。</w:t>
      </w:r>
      <w:r>
        <w:rPr>
          <w:rFonts w:ascii="微软雅黑" w:hAnsi="微软雅黑" w:eastAsia="微软雅黑"/>
          <w:color w:val="1A1A1A"/>
          <w:sz w:val="22"/>
        </w:rPr>
        <w:t>酿酒行业（-0.82%）和金融行业（-0.14%）是为数不多下跌的板块，资金出现明显的“卖旧买新”切换。宇通客车、北新建材等前期强势股出现高位获利了结，这并非基本面恶化，而是风格轮动的牺牲品，强化了当前“重成长、轻价值”的市场偏好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📉 技术信号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创业板指 (+5.04%) 与 科创50 (+5.91%)</w:t>
      </w:r>
      <w:r>
        <w:rPr>
          <w:rFonts w:ascii="微软雅黑" w:hAnsi="微软雅黑" w:eastAsia="微软雅黑"/>
          <w:color w:val="1A1A1A"/>
          <w:sz w:val="22"/>
        </w:rPr>
        <w:t>：两根放量长阳线突破所有短期均线压制，MACD金叉后红柱急速放大，进入主升浪攻击形态。RSI指标快速进入超买区（&gt;80），表明势能极强，但短期乖离率过高，技术上存在盘中震荡以等待短期均线上靠的需求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上证指数 (+0.76%)</w:t>
      </w:r>
      <w:r>
        <w:rPr>
          <w:rFonts w:ascii="微软雅黑" w:hAnsi="微软雅黑" w:eastAsia="微软雅黑"/>
          <w:color w:val="1A1A1A"/>
          <w:sz w:val="22"/>
        </w:rPr>
        <w:t>：高开高走收光头阳线，但涨幅远逊于深市。其主要受制于权重板块的疲软，未能同步突破。这反而是一个积极信号：市场未动用权重股“佯攻”指数，而是让赚钱效应集中在中小盘，这种上涨更具韧性。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沪深300 (+1.24%)</w:t>
      </w:r>
      <w:r>
        <w:rPr>
          <w:rFonts w:ascii="微软雅黑" w:hAnsi="微软雅黑" w:eastAsia="微软雅黑"/>
          <w:color w:val="1A1A1A"/>
          <w:sz w:val="22"/>
        </w:rPr>
        <w:t>：表现中规中矩，属于被动跟涨。其与中证500（+3.45%）的涨幅差表明，当前市场宽度极广，资金偏好从大盘价值转向中小盘成长。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🔍 量化视角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资金流向分析：</w:t>
      </w:r>
      <w:r>
        <w:rPr>
          <w:rFonts w:ascii="微软雅黑" w:hAnsi="微软雅黑" w:eastAsia="微软雅黑"/>
          <w:color w:val="1A1A1A"/>
          <w:sz w:val="22"/>
        </w:rPr>
        <w:t>北向资金净卖出与内地主力大单净买入的“剪刀差”形态是本日关键看点。这清晰地揭示了本轮行情由内资主导，博弈焦点在于政策预期与产业趋势，而非宏观边际变化。深市成交额远超沪市，量化模型中的“市值因子”和“成长因子”当日表现极为抢眼，小市值、高贝塔策略获得显著超额收益。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市场微观结构：</w:t>
      </w:r>
      <w:r>
        <w:rPr>
          <w:rFonts w:ascii="微软雅黑" w:hAnsi="微软雅黑" w:eastAsia="微软雅黑"/>
          <w:color w:val="1A1A1A"/>
          <w:sz w:val="22"/>
        </w:rPr>
        <w:t>上涨个股比例93.6%，而涨停家数达115家，无跌停，表明市场抛压极轻，空头处于完全溃败状态。这种极端的市场宽度通常是趋势加速的标志，但也预示着短期情绪高点可能临近。量价关系上，创业板和科创板呈现经典的“放量突破”形态，量能潮（OBV）创出新高，确认了上涨的有效性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🏦 宏观背景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最新宏观数据为市场提供温床：6月制造业PMI录得50.3，服务业PMI为50.4，皆处于扩张区间，显示经济底部已现企稳迹象。M2余额同比增长8.0%，配合LPR（1年期3.0%，5年期3.5%）连续维持不变，宏观流动性依然充裕，为“资产荒”逻辑下资金涌入科技赛道提供了土壤。CPI同比上涨1.0%，PPI同比上涨4.1%，上游价格压力不大，有利于中游科技制造业的估值修复。离岸、在岸人民币双双升值（USD/CNH报6.7447），进一步提升了人民币资产的吸引力，稳定了市场预期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⚠️ 风险提示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北向资金背离风险：</w:t>
      </w:r>
      <w:r>
        <w:rPr>
          <w:rFonts w:ascii="微软雅黑" w:hAnsi="微软雅黑" w:eastAsia="微软雅黑"/>
          <w:color w:val="1A1A1A"/>
          <w:sz w:val="22"/>
        </w:rPr>
        <w:t>在内资狂热之时，北向资金逆势净卖出超30亿，这是一个需要持续跟踪的警示。若后续连续流出，可能对市场情绪形成压制。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短期情绪过热：</w:t>
      </w:r>
      <w:r>
        <w:rPr>
          <w:rFonts w:ascii="微软雅黑" w:hAnsi="微软雅黑" w:eastAsia="微软雅黑"/>
          <w:color w:val="1A1A1A"/>
          <w:sz w:val="22"/>
        </w:rPr>
        <w:t>创业板指与科创50的RSI指标已进入严重超买区，且两者涨幅过大，短期内积聚了巨大的获利盘。技术性回调随时可能发生，波动幅度或将加剧。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主线过于集中：</w:t>
      </w:r>
      <w:r>
        <w:rPr>
          <w:rFonts w:ascii="微软雅黑" w:hAnsi="微软雅黑" w:eastAsia="微软雅黑"/>
          <w:color w:val="1A1A1A"/>
          <w:sz w:val="22"/>
        </w:rPr>
        <w:t>资金高度拥挤在AI、信创等少数几个板块，一旦龙头个股出现放量滞涨或巨额成交，须警惕板块内部分化与高位切换风险。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宏观数据分化：</w:t>
      </w:r>
      <w:r>
        <w:rPr>
          <w:rFonts w:ascii="微软雅黑" w:hAnsi="微软雅黑" w:eastAsia="微软雅黑"/>
          <w:color w:val="1A1A1A"/>
          <w:sz w:val="22"/>
        </w:rPr>
        <w:t>社融增量较同期有所减少，显示实体经济有效需求仍需巩固。若后续政策力度不达预期，单纯由流动性驱动的行情可能面临回调考验。</w:t>
      </w:r>
    </w:p>
    <w:p/>
    <w:p>
      <w:r>
        <w:rPr>
          <w:color w:val="8B949E"/>
          <w:sz w:val="16"/>
        </w:rPr>
        <w:t>⚠️ 免责声明：本报告由 AI 自动生成，仅供参考，不构成任何投资建议。投资有风险，入市需谨慎。报告中的数据来源于公开接口，不对其准确性做任何保证。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