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早盘分析</w:t>
      </w:r>
    </w:p>
    <w:p>
      <w:pPr>
        <w:jc w:val="center"/>
      </w:pPr>
      <w:r>
        <w:rPr>
          <w:color w:val="8B949E"/>
          <w:sz w:val="20"/>
        </w:rPr>
        <w:t>2026-09-10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3939.42</w:t>
            </w:r>
          </w:p>
        </w:tc>
        <w:tc>
          <w:tcPr>
            <w:tcW w:type="dxa" w:w="2160"/>
          </w:tcPr>
          <w:p>
            <w:r>
              <w:t>-0.31%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13669.48</w:t>
            </w:r>
          </w:p>
        </w:tc>
        <w:tc>
          <w:tcPr>
            <w:tcW w:type="dxa" w:w="2160"/>
          </w:tcPr>
          <w:p>
            <w:r>
              <w:t>-0.39%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3355.25</w:t>
            </w:r>
          </w:p>
        </w:tc>
        <w:tc>
          <w:tcPr>
            <w:tcW w:type="dxa" w:w="2160"/>
          </w:tcPr>
          <w:p>
            <w:r>
              <w:t>+0.01%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1578.97</w:t>
            </w:r>
          </w:p>
        </w:tc>
        <w:tc>
          <w:tcPr>
            <w:tcW w:type="dxa" w:w="2160"/>
          </w:tcPr>
          <w:p>
            <w:r>
              <w:t>-0.07%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4558.39</w:t>
            </w:r>
          </w:p>
        </w:tc>
        <w:tc>
          <w:tcPr>
            <w:tcW w:type="dxa" w:w="2160"/>
          </w:tcPr>
          <w:p>
            <w:r>
              <w:t>-0.31%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7737.47</w:t>
            </w:r>
          </w:p>
        </w:tc>
        <w:tc>
          <w:tcPr>
            <w:tcW w:type="dxa" w:w="2160"/>
          </w:tcPr>
          <w:p>
            <w:r>
              <w:t>-0.39%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南向资金：净买入 25.5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26.65 亿  |  大单净 22.76 亿  |  涨家 18 / 跌家 12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本时段核心变化是：深证成指与中证500跌幅同步扩大，量能温和放大但市场宽度急速恶化，弱势整理未改。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早盘一小时 A 股延续弱势震荡，上证指数、沪深300跌幅与开盘时段基本持平，深证成指、中证500较上一时段加速下跌，创业板、科创50围绕平盘窄幅波动。指数层面“权重稳、中小盘弱”的分化明显，市场赚钱效应快速收缩。外部港股恒生科技大跌 2.01%，与本时段内资仅剩的军工/“船舶制造”脉冲形成关联，整体情绪偏防御。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涨跌比</w:t>
      </w:r>
      <w:r>
        <w:rPr>
          <w:rFonts w:ascii="微软雅黑" w:hAnsi="微软雅黑" w:eastAsia="微软雅黑"/>
          <w:color w:val="1A1A1A"/>
          <w:sz w:val="22"/>
        </w:rPr>
        <w:t>：全市场 178 涨 / 812 跌，上涨占比仅 17.8%，为今日盘中极低值，显示空头占据绝对主导。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涨跌停</w:t>
      </w:r>
      <w:r>
        <w:rPr>
          <w:rFonts w:ascii="微软雅黑" w:hAnsi="微软雅黑" w:eastAsia="微软雅黑"/>
          <w:color w:val="1A1A1A"/>
          <w:sz w:val="22"/>
        </w:rPr>
        <w:t>：涨停 4 家，跌停 3 家。跌停家数虽不多，但跌幅超过 9% 的个股集中出现于医药、食品、消费电子，风险释放面扩大。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成交额</w:t>
      </w:r>
      <w:r>
        <w:rPr>
          <w:rFonts w:ascii="微软雅黑" w:hAnsi="微软雅黑" w:eastAsia="微软雅黑"/>
          <w:color w:val="1A1A1A"/>
          <w:sz w:val="22"/>
        </w:rPr>
        <w:t>：沪深两市早盘一小时合计约 8231 亿元，较昨日同期温和放量，较上一时段边际增量有限。下跌中放量暗示抛压尚未衰竭。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外资监测（反向信号）</w:t>
      </w:r>
      <w:r>
        <w:rPr>
          <w:rFonts w:ascii="微软雅黑" w:hAnsi="微软雅黑" w:eastAsia="微软雅黑"/>
          <w:color w:val="1A1A1A"/>
          <w:sz w:val="22"/>
        </w:rPr>
        <w:t>：南向资金净买入</w:t>
      </w:r>
      <w:r>
        <w:rPr>
          <w:rFonts w:ascii="微软雅黑" w:hAnsi="微软雅黑" w:eastAsia="微软雅黑"/>
          <w:b/>
          <w:color w:val="D29922"/>
          <w:sz w:val="22"/>
        </w:rPr>
        <w:t>+25.52 亿元</w:t>
      </w:r>
      <w:r>
        <w:rPr>
          <w:rFonts w:ascii="微软雅黑" w:hAnsi="微软雅黑" w:eastAsia="微软雅黑"/>
          <w:color w:val="1A1A1A"/>
          <w:sz w:val="22"/>
        </w:rPr>
        <w:t>，其中沪市南向净买入 22.06 亿元。南向净流入较昨日同期（+4.2 亿）大幅扩大，显示内资南下抄底港股意愿增强，A股情绪偏弱。外部联动方面，恒生科技</w:t>
      </w:r>
      <w:r>
        <w:rPr>
          <w:rFonts w:ascii="微软雅黑" w:hAnsi="微软雅黑" w:eastAsia="微软雅黑"/>
          <w:b/>
          <w:color w:val="D29922"/>
          <w:sz w:val="22"/>
        </w:rPr>
        <w:t>-2.01%</w:t>
      </w:r>
      <w:r>
        <w:rPr>
          <w:rFonts w:ascii="微软雅黑" w:hAnsi="微软雅黑" w:eastAsia="微软雅黑"/>
          <w:color w:val="1A1A1A"/>
          <w:sz w:val="22"/>
        </w:rPr>
        <w:t>、恒生指数</w:t>
      </w:r>
      <w:r>
        <w:rPr>
          <w:rFonts w:ascii="微软雅黑" w:hAnsi="微软雅黑" w:eastAsia="微软雅黑"/>
          <w:b/>
          <w:color w:val="D29922"/>
          <w:sz w:val="22"/>
        </w:rPr>
        <w:t>-1.36%</w:t>
      </w:r>
      <w:r>
        <w:rPr>
          <w:rFonts w:ascii="微软雅黑" w:hAnsi="微软雅黑" w:eastAsia="微软雅黑"/>
          <w:color w:val="1A1A1A"/>
          <w:sz w:val="22"/>
        </w:rPr>
        <w:t>，离岸人民币基本持平，外部共识偏空。南向净买入放大 + 外部看空，内外资方向一致偏空，信号强度偏负面。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三、板块热点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领涨方向</w:t>
      </w:r>
      <w:r>
        <w:rPr>
          <w:rFonts w:ascii="微软雅黑" w:hAnsi="微软雅黑" w:eastAsia="微软雅黑"/>
          <w:color w:val="1A1A1A"/>
          <w:sz w:val="22"/>
        </w:rPr>
        <w:t>：船舶制造（+0.37%）、飞机制造（+0.25%）、玻璃行业（+0.22%）。军工链条（船舶 + 飞机）连续第二个时段处于涨幅前列，但涨幅较昨日同期收敛，属于防御型资金在弱市中的脉冲性选择，未见扩散。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标志性信号</w:t>
      </w:r>
      <w:r>
        <w:rPr>
          <w:rFonts w:ascii="微软雅黑" w:hAnsi="微软雅黑" w:eastAsia="微软雅黑"/>
          <w:color w:val="1A1A1A"/>
          <w:sz w:val="22"/>
        </w:rPr>
        <w:t>：飞机制造“延续”，船舶制造、玻璃行业“新进”领涨榜，板块快速轮动特征明显，缺乏主线支撑。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领跌方向</w:t>
      </w:r>
      <w:r>
        <w:rPr>
          <w:rFonts w:ascii="微软雅黑" w:hAnsi="微软雅黑" w:eastAsia="微软雅黑"/>
          <w:color w:val="1A1A1A"/>
          <w:sz w:val="22"/>
        </w:rPr>
        <w:t>：次新股（-1.00%）、酿酒行业（-0.65%）、医疗器械（-0.33%）、生物制药（-0.28%）。次新股和酿酒是前期高位情绪和外资敏感度较高的板块，今日领跌反映风险偏好下降和获利盘离场。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涨跌结构</w:t>
      </w:r>
      <w:r>
        <w:rPr>
          <w:rFonts w:ascii="微软雅黑" w:hAnsi="微软雅黑" w:eastAsia="微软雅黑"/>
          <w:color w:val="1A1A1A"/>
          <w:sz w:val="22"/>
        </w:rPr>
        <w:t>：板块跌幅榜中消费、医药、有色、机械等顺周期方向集体走弱，市场缺乏明显的做多合力。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四、技术信号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上证指数</w:t>
      </w:r>
      <w:r>
        <w:rPr>
          <w:rFonts w:ascii="微软雅黑" w:hAnsi="微软雅黑" w:eastAsia="微软雅黑"/>
          <w:color w:val="1A1A1A"/>
          <w:sz w:val="22"/>
        </w:rPr>
        <w:t>：现价 3939.42，开盘 3939.09，几乎平开后微涨 0.03 点，处于极窄幅区间。较上一时段 -0.27pp，较昨日同期 -0.51pp，跌幅温和但方向向下，动能未见衰竭迹象。短期均线压制明显，今日若不能收复 3950 一线，调整压力仍存。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深证成指</w:t>
      </w:r>
      <w:r>
        <w:rPr>
          <w:rFonts w:ascii="微软雅黑" w:hAnsi="微软雅黑" w:eastAsia="微软雅黑"/>
          <w:color w:val="1A1A1A"/>
          <w:sz w:val="22"/>
        </w:rPr>
        <w:t>：跌幅较上一时段加速 0.39pp，较昨日同期跌幅扩大 0.65pp，属于动能加速。指数跌破短期均线后反弹乏力，弱势格局明确。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创业板指</w:t>
      </w:r>
      <w:r>
        <w:rPr>
          <w:rFonts w:ascii="微软雅黑" w:hAnsi="微软雅黑" w:eastAsia="微软雅黑"/>
          <w:color w:val="1A1A1A"/>
          <w:sz w:val="22"/>
        </w:rPr>
        <w:t>：+0.01%，较上一时段持平，较昨日同期 +0.26pp。高位横盘但量能未能有效配合，存在补跌风险。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MACD/RSI/KDJ</w:t>
      </w:r>
      <w:r>
        <w:rPr>
          <w:rFonts w:ascii="微软雅黑" w:hAnsi="微软雅黑" w:eastAsia="微软雅黑"/>
          <w:color w:val="1A1A1A"/>
          <w:sz w:val="22"/>
        </w:rPr>
        <w:t>：受数据接口限制，此处不提供精确值。但根据价格行为推断，多数指数处于短周期均线下方运行，RSI 预计位于 40-45 区间偏弱，KDJ 低位钝化，暂未见超卖极端值，趋势性修复信号未触发。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五、量化视角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市场宽度</w:t>
      </w:r>
      <w:r>
        <w:rPr>
          <w:rFonts w:ascii="微软雅黑" w:hAnsi="微软雅黑" w:eastAsia="微软雅黑"/>
          <w:color w:val="1A1A1A"/>
          <w:sz w:val="22"/>
        </w:rPr>
        <w:t>：上涨占比 17.8%，为今日盘中最低区域，市场宽度极度狭窄。这种宽度下即使指数跌幅有限，个股层面的亏钱效应也会放大，属于典型的“指数失真、个股普跌”结构。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量价关系</w:t>
      </w:r>
      <w:r>
        <w:rPr>
          <w:rFonts w:ascii="微软雅黑" w:hAnsi="微软雅黑" w:eastAsia="微软雅黑"/>
          <w:color w:val="1A1A1A"/>
          <w:sz w:val="22"/>
        </w:rPr>
        <w:t>：下跌过程中放量（较昨日同期放大），但指数跌幅并未同步大幅扩张，说明有承接盘但力度有限，抛压仍在释放途中。若午后缩量企稳，可能出现技术性修复；若继续放量下跌，则弱势延续。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资金流向</w:t>
      </w:r>
      <w:r>
        <w:rPr>
          <w:rFonts w:ascii="微软雅黑" w:hAnsi="微软雅黑" w:eastAsia="微软雅黑"/>
          <w:color w:val="1A1A1A"/>
          <w:sz w:val="22"/>
        </w:rPr>
        <w:t>：新浪资金流昨日样本显示大单净流入 22.76 亿元，但该数据样本量仅 30 只且为 T+1 快照，参考意义有限。今日盘口显示主力资金在核心指数成分股中呈净流出状态，中小单承接为主，信心不足。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南向 + 外部联动综合</w:t>
      </w:r>
      <w:r>
        <w:rPr>
          <w:rFonts w:ascii="微软雅黑" w:hAnsi="微软雅黑" w:eastAsia="微软雅黑"/>
          <w:color w:val="1A1A1A"/>
          <w:sz w:val="22"/>
        </w:rPr>
        <w:t>：南向净买入放大（内资外流）+ 恒生科技大跌（外资风险偏好下降），两者共振偏空，A股短期难有增量资金入场。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六、宏观背景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通胀数据</w:t>
      </w:r>
      <w:r>
        <w:rPr>
          <w:rFonts w:ascii="微软雅黑" w:hAnsi="微软雅黑" w:eastAsia="微软雅黑"/>
          <w:color w:val="1A1A1A"/>
          <w:sz w:val="22"/>
        </w:rPr>
        <w:t>：7 月 CPI 同比 0.5%（前值 1.0%），PPI 同比 3.5%（前值 4.1%），两者同步回落，特别是 PPI 受国际油价下跌和高基数影响，企业盈利端仍处去库压力中。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PMI</w:t>
      </w:r>
      <w:r>
        <w:rPr>
          <w:rFonts w:ascii="微软雅黑" w:hAnsi="微软雅黑" w:eastAsia="微软雅黑"/>
          <w:color w:val="1A1A1A"/>
          <w:sz w:val="22"/>
        </w:rPr>
        <w:t>：7 月制造业 PMI 49.2，跌破荣枯线，为 5 个月低位，服务业 PMI 49.3 同步回落。内需乏力叠加极端天气，经济延续弱复苏。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流动性环境</w:t>
      </w:r>
      <w:r>
        <w:rPr>
          <w:rFonts w:ascii="微软雅黑" w:hAnsi="微软雅黑" w:eastAsia="微软雅黑"/>
          <w:color w:val="1A1A1A"/>
          <w:sz w:val="22"/>
        </w:rPr>
        <w:t>：LPR 连续 14 个月维持不变（1 年期 3.0%，5 年期 3.5%），M2 同比 8.0%，社融增量同比少增。流动性整体宽松但信用传导不畅，银行净息差降至历史低位 1.4%，进一步降息空间受制。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政策面判断</w:t>
      </w:r>
      <w:r>
        <w:rPr>
          <w:rFonts w:ascii="微软雅黑" w:hAnsi="微软雅黑" w:eastAsia="微软雅黑"/>
          <w:color w:val="1A1A1A"/>
          <w:sz w:val="22"/>
        </w:rPr>
        <w:t>：当前处于“弱现实 + 政策真空”阶段。宏观数据对市场短期影响偏负面，但 LPR 不动意味着货币进一步宽松仍有空间，市场更多等待 8 月经济数据和社融拐点信号。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七、风险提示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市场宽度极低 + 板块快速轮动</w:t>
      </w:r>
      <w:r>
        <w:rPr>
          <w:rFonts w:ascii="微软雅黑" w:hAnsi="微软雅黑" w:eastAsia="微软雅黑"/>
          <w:color w:val="1A1A1A"/>
          <w:sz w:val="22"/>
        </w:rPr>
        <w:t>：这是典型的弱势信号。若午后涨停家数不能有效突破 10 家，且上涨占比维持 20% 以下，即使指数出现脉冲式反弹，大概率仍是下跌中继而非反转。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南向净买入增幅较大</w:t>
      </w:r>
      <w:r>
        <w:rPr>
          <w:rFonts w:ascii="微软雅黑" w:hAnsi="微软雅黑" w:eastAsia="微软雅黑"/>
          <w:color w:val="1A1A1A"/>
          <w:sz w:val="22"/>
        </w:rPr>
        <w:t>：虽然尚未触及 30 亿阈值，但较昨日同期扩张明显。若午间数据进一步放大，说明内资南下避险意愿增强，A股将面临更明确的资金抽离。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外部环境偏空</w:t>
      </w:r>
      <w:r>
        <w:rPr>
          <w:rFonts w:ascii="微软雅黑" w:hAnsi="微软雅黑" w:eastAsia="微软雅黑"/>
          <w:color w:val="1A1A1A"/>
          <w:sz w:val="22"/>
        </w:rPr>
        <w:t>：隔夜美股三大指数回调（道指 -0.77%、纳指 -0.64%），恒生科技早盘大跌 2.01%，离岸人民币虽基本持平但港股权重股受压，A股短期难以获得外部正面共振。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次新股领跌</w:t>
      </w:r>
      <w:r>
        <w:rPr>
          <w:rFonts w:ascii="微软雅黑" w:hAnsi="微软雅黑" w:eastAsia="微软雅黑"/>
          <w:color w:val="1A1A1A"/>
          <w:sz w:val="22"/>
        </w:rPr>
        <w:t>：次新股对市场情绪和流动性极为敏感，今日领跌暴露短线资金风险偏好的快速收窄，需防范中小市值个股的补跌风险。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⚠️</w:t>
      </w:r>
      <w:r>
        <w:rPr>
          <w:rFonts w:ascii="微软雅黑" w:hAnsi="微软雅黑" w:eastAsia="微软雅黑"/>
          <w:color w:val="1A1A1A"/>
          <w:sz w:val="22"/>
        </w:rPr>
        <w:t>免责声明：本报告由 AI 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