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2026-08-19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3912.53</w:t>
            </w:r>
          </w:p>
        </w:tc>
        <w:tc>
          <w:tcPr>
            <w:tcW w:type="dxa" w:w="2160"/>
          </w:tcPr>
          <w:p>
            <w:r>
              <w:t>-1.95%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14042.53</w:t>
            </w:r>
          </w:p>
        </w:tc>
        <w:tc>
          <w:tcPr>
            <w:tcW w:type="dxa" w:w="2160"/>
          </w:tcPr>
          <w:p>
            <w:r>
              <w:t>-3.97%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3521.17</w:t>
            </w:r>
          </w:p>
        </w:tc>
        <w:tc>
          <w:tcPr>
            <w:tcW w:type="dxa" w:w="2160"/>
          </w:tcPr>
          <w:p>
            <w:r>
              <w:t>-4.98%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1682.34</w:t>
            </w:r>
          </w:p>
        </w:tc>
        <w:tc>
          <w:tcPr>
            <w:tcW w:type="dxa" w:w="2160"/>
          </w:tcPr>
          <w:p>
            <w:r>
              <w:t>-6.06%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4612.20</w:t>
            </w:r>
          </w:p>
        </w:tc>
        <w:tc>
          <w:tcPr>
            <w:tcW w:type="dxa" w:w="2160"/>
          </w:tcPr>
          <w:p>
            <w:r>
              <w:t>-2.40%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7866.00</w:t>
            </w:r>
          </w:p>
        </w:tc>
        <w:tc>
          <w:tcPr>
            <w:tcW w:type="dxa" w:w="2160"/>
          </w:tcPr>
          <w:p>
            <w:r>
              <w:t>-3.81%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南向资金：净卖出 7.6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-1.54 亿  |  大单净 -0.88 亿  |  涨家 17 / 跌家 13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</w:t>
      </w:r>
      <w:r>
        <w:rPr>
          <w:rFonts w:ascii="微软雅黑" w:hAnsi="微软雅黑" w:eastAsia="微软雅黑"/>
          <w:b/>
          <w:color w:val="D29922"/>
          <w:sz w:val="22"/>
        </w:rPr>
        <w:t>放量加速下杀，科创50领跌超6%，涨跌比极端化至94.6%个股下跌</w:t>
      </w:r>
      <w:r>
        <w:rPr>
          <w:rFonts w:ascii="微软雅黑" w:hAnsi="微软雅黑" w:eastAsia="微软雅黑"/>
          <w:color w:val="1A1A1A"/>
          <w:sz w:val="22"/>
        </w:rPr>
        <w:t>。上午市场从10:32的"横盘弱势"升级为"恐慌性抛售"，成长板块出现踩踏式出逃，跌停家数（45家）为涨停家数（5家）的9倍。量价关系恶化，成交额较上一时段暴增33.4%，显示资金无差别撤出高估值赛道。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涨跌比（1000只样本）</w:t>
      </w:r>
      <w:r>
        <w:rPr>
          <w:rFonts w:ascii="微软雅黑" w:hAnsi="微软雅黑" w:eastAsia="微软雅黑"/>
          <w:color w:val="1A1A1A"/>
          <w:sz w:val="22"/>
        </w:rPr>
        <w:t>：上涨52家 / 下跌946家 / 平盘2家，上涨比率仅</w:t>
      </w:r>
      <w:r>
        <w:rPr>
          <w:rFonts w:ascii="微软雅黑" w:hAnsi="微软雅黑" w:eastAsia="微软雅黑"/>
          <w:b/>
          <w:color w:val="D29922"/>
          <w:sz w:val="22"/>
        </w:rPr>
        <w:t>5.2%</w:t>
      </w:r>
      <w:r>
        <w:rPr>
          <w:rFonts w:ascii="微软雅黑" w:hAnsi="微软雅黑" w:eastAsia="微软雅黑"/>
          <w:color w:val="1A1A1A"/>
          <w:sz w:val="22"/>
        </w:rPr>
        <w:t>。市场宽度处于极端悲观区间，接近历史极值。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：16179亿，较上一时段</w:t>
      </w:r>
      <w:r>
        <w:rPr>
          <w:rFonts w:ascii="微软雅黑" w:hAnsi="微软雅黑" w:eastAsia="微软雅黑"/>
          <w:b/>
          <w:color w:val="D29922"/>
          <w:sz w:val="22"/>
        </w:rPr>
        <w:t>+33.4%放量</w:t>
      </w:r>
      <w:r>
        <w:rPr>
          <w:rFonts w:ascii="微软雅黑" w:hAnsi="微软雅黑" w:eastAsia="微软雅黑"/>
          <w:color w:val="1A1A1A"/>
          <w:sz w:val="22"/>
        </w:rPr>
        <w:t>。量价组合为"放量长阴"，是趋势加速下跌的典型特征，而非技术性缩量回踩。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南向资金（港股通）</w:t>
      </w:r>
      <w:r>
        <w:rPr>
          <w:rFonts w:ascii="微软雅黑" w:hAnsi="微软雅黑" w:eastAsia="微软雅黑"/>
          <w:color w:val="1A1A1A"/>
          <w:sz w:val="22"/>
        </w:rPr>
        <w:t>：净卖出</w:t>
      </w:r>
      <w:r>
        <w:rPr>
          <w:rFonts w:ascii="微软雅黑" w:hAnsi="微软雅黑" w:eastAsia="微软雅黑"/>
          <w:b/>
          <w:color w:val="D29922"/>
          <w:sz w:val="22"/>
        </w:rPr>
        <w:t>-7.59亿</w:t>
      </w:r>
      <w:r>
        <w:rPr>
          <w:rFonts w:ascii="微软雅黑" w:hAnsi="微软雅黑" w:eastAsia="微软雅黑"/>
          <w:color w:val="1A1A1A"/>
          <w:sz w:val="22"/>
        </w:rPr>
        <w:t>（其中沪市净买入+3.56亿，深市净卖出-11.15亿）。内资未出现恐慌性南下外逃，但较昨日同期净卖出-75.2亿出现显著收窄，资金行为存在分歧。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指数跌幅比较</w:t>
      </w:r>
      <w:r>
        <w:rPr>
          <w:rFonts w:ascii="微软雅黑" w:hAnsi="微软雅黑" w:eastAsia="微软雅黑"/>
          <w:color w:val="1A1A1A"/>
          <w:sz w:val="22"/>
        </w:rPr>
        <w:t>：科创50（-6.06%）＞创业板指（-4.98%）＞深证成指（-3.97%）＞中证500（-3.81%）＞沪深300（-2.40%）＞上证指数（-1.95%）。小盘成长受损显著，大盘蓝筹相对抗跌。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涨停/跌停</w:t>
      </w:r>
      <w:r>
        <w:rPr>
          <w:rFonts w:ascii="微软雅黑" w:hAnsi="微软雅黑" w:eastAsia="微软雅黑"/>
          <w:color w:val="1A1A1A"/>
          <w:sz w:val="22"/>
        </w:rPr>
        <w:t>：涨停5家 vs 跌停45家，市场情绪处于冰点，恐慌程度较昨日同期显著抬升。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领涨方向</w:t>
      </w:r>
      <w:r>
        <w:rPr>
          <w:rFonts w:ascii="微软雅黑" w:hAnsi="微软雅黑" w:eastAsia="微软雅黑"/>
          <w:color w:val="1A1A1A"/>
          <w:sz w:val="22"/>
        </w:rPr>
        <w:t>：价值股板块（+3.0%），但内部结构极不健康。领涨个股呈现明显的</w:t>
      </w:r>
      <w:r>
        <w:rPr>
          <w:rFonts w:ascii="微软雅黑" w:hAnsi="微软雅黑" w:eastAsia="微软雅黑"/>
          <w:b/>
          <w:color w:val="D29922"/>
          <w:sz w:val="22"/>
        </w:rPr>
        <w:t>防御+周期资源特征</w:t>
      </w:r>
      <w:r>
        <w:rPr>
          <w:rFonts w:ascii="微软雅黑" w:hAnsi="微软雅黑" w:eastAsia="微软雅黑"/>
          <w:color w:val="1A1A1A"/>
          <w:sz w:val="22"/>
        </w:rPr>
        <w:t>：山东黄金（+5.8%，避险需求）、恒力石化（+5.3%，低估值化工）、宝泰隆（+10.1%，煤化工）、陕西黑猫（+10.1%，煤炭）、美锦能源（+9.9%，煤炭氢能）。资金并非主动做多，而是在科技股踩踏中向低位防御性周期股避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领跌方向</w:t>
      </w:r>
      <w:r>
        <w:rPr>
          <w:rFonts w:ascii="微软雅黑" w:hAnsi="微软雅黑" w:eastAsia="微软雅黑"/>
          <w:color w:val="1A1A1A"/>
          <w:sz w:val="22"/>
        </w:rPr>
        <w:t>：半导体设备/材料类跌幅居前——上纬新材（-18.7%）、江苏北人（-16.6%）、国仪公司（-16.4%）、杰华特（-14.3%）、神工股份（-14.0%）、铂力特（-12.8%）、绿的谐波（-12.8%）。机器人产业链、半导体材料、深科技成长板块遭遇暴力去估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板块轮动异常警示</w:t>
      </w:r>
      <w:r>
        <w:rPr>
          <w:rFonts w:ascii="微软雅黑" w:hAnsi="微软雅黑" w:eastAsia="微软雅黑"/>
          <w:color w:val="1A1A1A"/>
          <w:sz w:val="22"/>
        </w:rPr>
        <w:t>：较上一时段（10:32）领涨板块已完全替换，此前领涨的家电、传媒娱乐、服装鞋类已退出前列，资金在板块间无停留意愿，呈现</w:t>
      </w:r>
      <w:r>
        <w:rPr>
          <w:rFonts w:ascii="微软雅黑" w:hAnsi="微软雅黑" w:eastAsia="微软雅黑"/>
          <w:b/>
          <w:color w:val="D29922"/>
          <w:sz w:val="22"/>
        </w:rPr>
        <w:t>快速轮动+避险闪挪</w:t>
      </w:r>
      <w:r>
        <w:rPr>
          <w:rFonts w:ascii="微软雅黑" w:hAnsi="微软雅黑" w:eastAsia="微软雅黑"/>
          <w:color w:val="1A1A1A"/>
          <w:sz w:val="22"/>
        </w:rPr>
        <w:t>的弱势结构。金融地产风格板块指数显示-22.0%，存在明显异常波动，需关注是否有权重股极端行情或数据偏差。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：上午收于3912.53，较上一时段-0.28pp、较昨日同期-1.56pp，属</w:t>
      </w:r>
      <w:r>
        <w:rPr>
          <w:rFonts w:ascii="微软雅黑" w:hAnsi="微软雅黑" w:eastAsia="微软雅黑"/>
          <w:b/>
          <w:color w:val="D29922"/>
          <w:sz w:val="22"/>
        </w:rPr>
        <w:t>动能加速下跌</w:t>
      </w:r>
      <w:r>
        <w:rPr>
          <w:rFonts w:ascii="微软雅黑" w:hAnsi="微软雅黑" w:eastAsia="微软雅黑"/>
          <w:color w:val="1A1A1A"/>
          <w:sz w:val="22"/>
        </w:rPr>
        <w:t>。指数已从10:32的横盘弱势演变为单边下行，开盘低开（3952.12）后持续走低，无有效反弹抵抗。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深证成指 / 创业板指 / 科创50</w:t>
      </w:r>
      <w:r>
        <w:rPr>
          <w:rFonts w:ascii="微软雅黑" w:hAnsi="微软雅黑" w:eastAsia="微软雅黑"/>
          <w:color w:val="1A1A1A"/>
          <w:sz w:val="22"/>
        </w:rPr>
        <w:t>：三者均呈现加速下跌，尤其科创50较昨日同期加速下滑5.35pp，且较10:32进一步走弱-0.90pp，</w:t>
      </w:r>
      <w:r>
        <w:rPr>
          <w:rFonts w:ascii="微软雅黑" w:hAnsi="微软雅黑" w:eastAsia="微软雅黑"/>
          <w:b/>
          <w:color w:val="D29922"/>
          <w:sz w:val="22"/>
        </w:rPr>
        <w:t>趋势反转信号不成立，而是原有下跌趋势进入主跌加速段</w:t>
      </w:r>
      <w:r>
        <w:rPr>
          <w:rFonts w:ascii="微软雅黑" w:hAnsi="微软雅黑" w:eastAsia="微软雅黑"/>
          <w:color w:val="1A1A1A"/>
          <w:sz w:val="22"/>
        </w:rPr>
        <w:t>。深交所成长指数的量价关系恶劣，上午成交金额普遍放大，表明抛压远未释放完毕。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均线系统</w:t>
      </w:r>
      <w:r>
        <w:rPr>
          <w:rFonts w:ascii="微软雅黑" w:hAnsi="微软雅黑" w:eastAsia="微软雅黑"/>
          <w:color w:val="1A1A1A"/>
          <w:sz w:val="22"/>
        </w:rPr>
        <w:t>（定性判断）：所有主要指数均已跌穿短期关键均线，上证指数跌破前期横盘平台。伴随放量，短期均线系统进入空头排列的概率较大，下午若无法快速收复关键整数位（上证3900），则技术性抛盘可能继续释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动能判断</w:t>
      </w:r>
      <w:r>
        <w:rPr>
          <w:rFonts w:ascii="微软雅黑" w:hAnsi="微软雅黑" w:eastAsia="微软雅黑"/>
          <w:color w:val="1A1A1A"/>
          <w:sz w:val="22"/>
        </w:rPr>
        <w:t>：</w:t>
      </w:r>
      <w:r>
        <w:rPr>
          <w:rFonts w:ascii="微软雅黑" w:hAnsi="微软雅黑" w:eastAsia="微软雅黑"/>
          <w:b/>
          <w:color w:val="D29922"/>
          <w:sz w:val="22"/>
        </w:rPr>
        <w:t>动能加速，非衰竭</w:t>
      </w:r>
      <w:r>
        <w:rPr>
          <w:rFonts w:ascii="微软雅黑" w:hAnsi="微软雅黑" w:eastAsia="微软雅黑"/>
          <w:color w:val="1A1A1A"/>
          <w:sz w:val="22"/>
        </w:rPr>
        <w:t>。成交额暴增+跌幅扩大+跌停家数急升，均指向下跌趋势处于加速阶段，未出现量价背离的止跌信号。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资金流向（30只样本大单）</w:t>
      </w:r>
      <w:r>
        <w:rPr>
          <w:rFonts w:ascii="微软雅黑" w:hAnsi="微软雅黑" w:eastAsia="微软雅黑"/>
          <w:color w:val="1A1A1A"/>
          <w:sz w:val="22"/>
        </w:rPr>
        <w:t>：大单净额-0.88亿，流出规模不大，但样本仅为30只，代表性有限。从市场整体看，放量长阴下的大单流向需结合跌停板密集度判断，45家跌停意味着大量被动平仓盘和量化止损盘被触发。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：全市场16179亿成交额较上一时段暴增33.4%，但指数全面下行，</w:t>
      </w:r>
      <w:r>
        <w:rPr>
          <w:rFonts w:ascii="微软雅黑" w:hAnsi="微软雅黑" w:eastAsia="微软雅黑"/>
          <w:b/>
          <w:color w:val="D29922"/>
          <w:sz w:val="22"/>
        </w:rPr>
        <w:t>这是最危险的量价组合——放量下跌，承接力度明显不足</w:t>
      </w:r>
      <w:r>
        <w:rPr>
          <w:rFonts w:ascii="微软雅黑" w:hAnsi="微软雅黑" w:eastAsia="微软雅黑"/>
          <w:color w:val="1A1A1A"/>
          <w:sz w:val="22"/>
        </w:rPr>
        <w:t>。不存在地量见底的可能，反而需要警惕下午进一步放量下杀。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：上涨比率5.2%属于极度超卖区间，短期存在技术性反弹需求。但历史经验表明，在下跌主浪中，超卖指标可以持续失效，不宜仅因上涨比率低便预期反转。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涨停/跌停差值</w:t>
      </w:r>
      <w:r>
        <w:rPr>
          <w:rFonts w:ascii="微软雅黑" w:hAnsi="微软雅黑" w:eastAsia="微软雅黑"/>
          <w:color w:val="1A1A1A"/>
          <w:sz w:val="22"/>
        </w:rPr>
        <w:t>：5 vs 45的极端差值（-40）表明市场恐慌情绪至深，空头完全掌控盘面。该指标若下午继续恶化，可能引发更广泛的程序化止损。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CPI/PPI（2026年7月）</w:t>
      </w:r>
      <w:r>
        <w:rPr>
          <w:rFonts w:ascii="微软雅黑" w:hAnsi="微软雅黑" w:eastAsia="微软雅黑"/>
          <w:color w:val="1A1A1A"/>
          <w:sz w:val="22"/>
        </w:rPr>
        <w:t>：CPI同比+0.5%（前值1.0%），PPI同比+3.5%（前值4.1%）。通胀压力持续缓解，为货币宽松留出空间，但PPI回落过快可能反映实体需求转弱。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PMI（2026年7月）</w:t>
      </w:r>
      <w:r>
        <w:rPr>
          <w:rFonts w:ascii="微软雅黑" w:hAnsi="微软雅黑" w:eastAsia="微软雅黑"/>
          <w:color w:val="1A1A1A"/>
          <w:sz w:val="22"/>
        </w:rPr>
        <w:t>：制造业49.2，服务业49.3，双双跌破荣枯线。制造业PMI为5个月最低，高技术制造业（53.3%）仍逆势扩张，但整体经济动能偏弱。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货币政策</w:t>
      </w:r>
      <w:r>
        <w:rPr>
          <w:rFonts w:ascii="微软雅黑" w:hAnsi="微软雅黑" w:eastAsia="微软雅黑"/>
          <w:color w:val="1A1A1A"/>
          <w:sz w:val="22"/>
        </w:rPr>
        <w:t>：M2同比+8.0%，M1同比+4.0%，流动性总量充裕。LPR连续14个月不变（1年3.0%，5年3.5%），商业银行净息差1.4%处于历史低位，短期降息空间受限，需通过降准或结构工具补充流动性。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海外环境</w:t>
      </w:r>
      <w:r>
        <w:rPr>
          <w:rFonts w:ascii="微软雅黑" w:hAnsi="微软雅黑" w:eastAsia="微软雅黑"/>
          <w:color w:val="1A1A1A"/>
          <w:sz w:val="22"/>
        </w:rPr>
        <w:t>：道琼斯-0.22%、标普500-0.69%、纳斯达克-1.33%，隔夜美股科技股跌幅较大，对A股成长板块形成情绪压制。伦敦金+0.52%续创高位，避险情绪从海外传导至A股。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量价严重背离风险</w:t>
      </w:r>
      <w:r>
        <w:rPr>
          <w:rFonts w:ascii="微软雅黑" w:hAnsi="微软雅黑" w:eastAsia="微软雅黑"/>
          <w:color w:val="1A1A1A"/>
          <w:sz w:val="22"/>
        </w:rPr>
        <w:t>：放量33.4%伴随加速下跌，若下午成交额继续放大但指数无法止稳，则下跌趋势可能延续至尾盘并形成多日主跌浪。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成长股踩踏风险</w:t>
      </w:r>
      <w:r>
        <w:rPr>
          <w:rFonts w:ascii="微软雅黑" w:hAnsi="微软雅黑" w:eastAsia="微软雅黑"/>
          <w:color w:val="1A1A1A"/>
          <w:sz w:val="22"/>
        </w:rPr>
        <w:t>：科创50较昨日同期加速下跌5.3pp、创业板加速3.6pp，已接近"踩踏"标准，需重点关注跌停板数量是否继续攀升。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