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2026-08-26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3909.06</w:t>
            </w:r>
          </w:p>
        </w:tc>
        <w:tc>
          <w:tcPr>
            <w:tcW w:type="dxa" w:w="2160"/>
          </w:tcPr>
          <w:p>
            <w:r>
              <w:t>+0.50%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13817.54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3413.16</w:t>
            </w:r>
          </w:p>
        </w:tc>
        <w:tc>
          <w:tcPr>
            <w:tcW w:type="dxa" w:w="2160"/>
          </w:tcPr>
          <w:p>
            <w:r>
              <w:t>+0.46%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1611.31</w:t>
            </w:r>
          </w:p>
        </w:tc>
        <w:tc>
          <w:tcPr>
            <w:tcW w:type="dxa" w:w="2160"/>
          </w:tcPr>
          <w:p>
            <w:r>
              <w:t>+0.42%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4585.55</w:t>
            </w:r>
          </w:p>
        </w:tc>
        <w:tc>
          <w:tcPr>
            <w:tcW w:type="dxa" w:w="2160"/>
          </w:tcPr>
          <w:p>
            <w:r>
              <w:t>+0.74%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7754.32</w:t>
            </w:r>
          </w:p>
        </w:tc>
        <w:tc>
          <w:tcPr>
            <w:tcW w:type="dxa" w:w="2160"/>
          </w:tcPr>
          <w:p>
            <w:r>
              <w:t>+0.56%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9.6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7.29 亿  |  大单净 6.17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本时段核心变化是：指数加速上攻与个股涨跌结构严重背离——权重拉抬掩盖了逾七成个股下跌的真实宽度。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后，六大指数全线飘红且较上一时段（09:28）同步加速，沪深300以+0.74%领涨，上证站上3909点。但这并非普涨行情：全市场上涨家数仅263家，下跌732家，上涨比例26.3%，典型的"指数行情、个股失血"。较昨日同期，上证涨幅扩大0.64pp，深成指扩大1.14pp，创业板扩大1.49pp，表面动能强劲，但结构脆弱性同步上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：263涨 / 732跌 / 5平，上涨比例26.3%——指数全红背景下不足三成个股上涨，赚钱效应极差。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涨跌停家数</w:t>
      </w:r>
      <w:r>
        <w:rPr>
          <w:rFonts w:ascii="微软雅黑" w:hAnsi="微软雅黑" w:eastAsia="微软雅黑"/>
          <w:color w:val="1A1A1A"/>
          <w:sz w:val="22"/>
        </w:rPr>
        <w:t>：涨停仅4家，跌停7家，跌停多于涨停，与指数加速上涨严重背离，资金避险情绪明确。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：上证半日414亿、深证465亿，合计约880亿量级，换手2.0%，属温和放量，未出现增量资金跑步入场的爆量信号。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南向资金（港股通）</w:t>
      </w:r>
      <w:r>
        <w:rPr>
          <w:rFonts w:ascii="微软雅黑" w:hAnsi="微软雅黑" w:eastAsia="微软雅黑"/>
          <w:color w:val="1A1A1A"/>
          <w:sz w:val="22"/>
        </w:rPr>
        <w:t>：+9.6亿净买入。较昨日同期+24.4亿，边际变化显著。按反向指标框架：南向净买入=内资南下，A股情绪偏弱，但这个金额未超30亿阈值，信号强度仅中等。注意沪市南向-1.22亿、深市南向+10.82亿，深市资金外流更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有色金属（+0.41%）、酿酒行业（+0.31%）、金融行业（+0.24%）——三大权重/顺周期主线齐发力，江西铜业、白银有色双双涨停，西部矿业+6.99%、云南铜业+6.74%，铜产业链是核心主线。LME铜+0.17%、伦敦金高位横盘，资源品有实盘支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：次新股（-0.31%）、医疗器械（-0.11%）、仪器仪表（-0.09%），前期活跃题材和高位次新股成为杀跌重灾区。石油、电子器件同步转弱。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轮动警示</w:t>
      </w:r>
      <w:r>
        <w:rPr>
          <w:rFonts w:ascii="微软雅黑" w:hAnsi="微软雅黑" w:eastAsia="微软雅黑"/>
          <w:color w:val="1A1A1A"/>
          <w:sz w:val="22"/>
        </w:rPr>
        <w:t>：较上一时段，领涨板块被完全替换（有色金属、酿酒、金融接替玻璃、船舶、传媒娱乐），较昨日同期同样完全替换。这种"一日换一批"的快速轮动，说明资金没有持续做多意愿，是典型的动能衰竭前兆。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上证指数较昨日同期加速上涨，价格上穿并站稳3900点整数关，短期均线呈多头排列。但需关注以下矛盾：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指数创新高，但涨停家数仅4家、跌停7家，市场宽度与价格走势背离；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较上一时段加速上涨，但上涨比例从早盘低位未见改善，指数完全由权重股贡献；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上证30分钟级别若维持当前斜率，上方3950-3980一带有较强阻力，需量能有效放大方可消化。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单净流入仅7.29亿，其中大单/特大单净流入6.17亿，样本内18只流入、12只流出，属于谨慎净流入，与指数涨幅不匹配。资金追逐方向集中于有色金属龙头（江西铜业、白银有色、西部矿业）和部分券商股（锦龙股份涨停、湘财股份+10%）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：三大指数放量上攻但成交额未爆量，当前属于"温和放量+权重拉抬"格局，量价关系暂时健康但缺乏持续性增量确认。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：上涨/下跌比0.36，涨停/跌停比0.57，两项宽度指标均处极弱区间。较上一时段没有改善，说明日内早盘拉升主要由指数权重贡献，与真实市场情绪脱节。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①南向资金：+9.6亿净买入，偏弱信号（反向）。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②外部联动：恒生科技+1.42%、恒生指数+0.91%，CNH微贬0.03%，外部共识分4.8，中等置信度看多。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综合判断：南向净买入与外部看多形成轻度背离——外资风险偏好尚可，但内资借道港股通南下，A股场内情绪更弱。这种背离行情下，按规则以内盘量价为主要参考，而内盘宽度恰恰偏弱，需警惕。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7月CPI回落至0.5%（前值1.0%），PPI回落至3.5%（前值4.1%），制造业PMI 49.2跌破荣枯线。当前宏观组合是"弱复苏+低通胀+政策托底"，顺周期板块（有色、金融）上涨更多源于全球大宗商品价格和估值修复预期，而非国内需求端强劲复苏。LPR连续14个月不变，流动性维持宽松但边际宽松空间有限，商业银行净息差1.4%历史低位，对金融板块估值构成长期压制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⛔ 量价结构背离是本时段最大风险信号</w:t>
      </w:r>
      <w:r>
        <w:rPr>
          <w:rFonts w:ascii="微软雅黑" w:hAnsi="微软雅黑" w:eastAsia="微软雅黑"/>
          <w:color w:val="1A1A1A"/>
          <w:sz w:val="22"/>
        </w:rPr>
        <w:t>：指数加速上涨但七成个股下跌、跌停多于涨停，若午后权重股回落，指数将面临快速修正压力。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⛔ 板块快速轮动</w:t>
      </w:r>
      <w:r>
        <w:rPr>
          <w:rFonts w:ascii="微软雅黑" w:hAnsi="微软雅黑" w:eastAsia="微软雅黑"/>
          <w:color w:val="1A1A1A"/>
          <w:sz w:val="22"/>
        </w:rPr>
        <w:t>：连续两个时段领涨板块完全替换，追高风险极大，游资情绪处于极不稳定状态。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⛔ 南向资金边际变化</w:t>
      </w:r>
      <w:r>
        <w:rPr>
          <w:rFonts w:ascii="微软雅黑" w:hAnsi="微软雅黑" w:eastAsia="微软雅黑"/>
          <w:color w:val="1A1A1A"/>
          <w:sz w:val="22"/>
        </w:rPr>
        <w:t>：从昨日同期+24.4亿到当前+9.6亿，内资南下动能波动，反映内资对A股态度反复，不宜过度乐观。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关注</w:t>
      </w:r>
      <w:r>
        <w:rPr>
          <w:rFonts w:ascii="微软雅黑" w:hAnsi="微软雅黑" w:eastAsia="微软雅黑"/>
          <w:color w:val="1A1A1A"/>
          <w:sz w:val="22"/>
        </w:rPr>
        <w:t>：有色金属龙头若午后炸板（涨停打开），将直接冲击顺周期主线情绪，带动指数快速回落。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