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2026-08-20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3892.77</w:t>
            </w:r>
          </w:p>
        </w:tc>
        <w:tc>
          <w:tcPr>
            <w:tcW w:type="dxa" w:w="2160"/>
          </w:tcPr>
          <w:p>
            <w:r>
              <w:t>-0.04%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13894.72</w:t>
            </w:r>
          </w:p>
        </w:tc>
        <w:tc>
          <w:tcPr>
            <w:tcW w:type="dxa" w:w="2160"/>
          </w:tcPr>
          <w:p>
            <w:r>
              <w:t>+0.03%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3467.79</w:t>
            </w:r>
          </w:p>
        </w:tc>
        <w:tc>
          <w:tcPr>
            <w:tcW w:type="dxa" w:w="2160"/>
          </w:tcPr>
          <w:p>
            <w:r>
              <w:t>-0.16%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1644.89</w:t>
            </w:r>
          </w:p>
        </w:tc>
        <w:tc>
          <w:tcPr>
            <w:tcW w:type="dxa" w:w="2160"/>
          </w:tcPr>
          <w:p>
            <w:r>
              <w:t>-1.36%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4575.30</w:t>
            </w:r>
          </w:p>
        </w:tc>
        <w:tc>
          <w:tcPr>
            <w:tcW w:type="dxa" w:w="2160"/>
          </w:tcPr>
          <w:p>
            <w:r>
              <w:t>-0.29%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7809.82</w:t>
            </w:r>
          </w:p>
        </w:tc>
        <w:tc>
          <w:tcPr>
            <w:tcW w:type="dxa" w:w="2160"/>
          </w:tcPr>
          <w:p>
            <w:r>
              <w:t>+0.34%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7.5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16.19 亿  |  大单净 10.35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本时段核心变化是：权重指数午后加速下跌，但中小盘相对抗跌，市场呈现“指数弱、个股普涨”的分化格局。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指数方向</w:t>
      </w:r>
      <w:r>
        <w:rPr>
          <w:rFonts w:ascii="微软雅黑" w:hAnsi="微软雅黑" w:eastAsia="微软雅黑"/>
          <w:color w:val="1A1A1A"/>
          <w:sz w:val="22"/>
        </w:rPr>
        <w:t>：较上一时段，上证指数跌速加快0.32pp，创业板指加快1.20pp，科创50加快1.36pp，沪深300加快0.50pp，均为动能加速下探；深证成指涨势放缓0.94pp，中证500涨势放缓0.90pp，显示中小盘上攻动能开始衰竭。整体定性为</w:t>
      </w:r>
      <w:r>
        <w:rPr>
          <w:rFonts w:ascii="微软雅黑" w:hAnsi="微软雅黑" w:eastAsia="微软雅黑"/>
          <w:b/>
          <w:color w:val="D29922"/>
          <w:sz w:val="22"/>
        </w:rPr>
        <w:t>动能衰竭</w:t>
      </w:r>
      <w:r>
        <w:rPr>
          <w:rFonts w:ascii="微软雅黑" w:hAnsi="微软雅黑" w:eastAsia="微软雅黑"/>
          <w:color w:val="1A1A1A"/>
          <w:sz w:val="22"/>
        </w:rPr>
        <w:t>而非趋势反转。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</w:t>
      </w:r>
      <w:r>
        <w:rPr>
          <w:rFonts w:ascii="微软雅黑" w:hAnsi="微软雅黑" w:eastAsia="微软雅黑"/>
          <w:color w:val="1A1A1A"/>
          <w:sz w:val="22"/>
        </w:rPr>
        <w:t>：午后成交额16951亿，较上一时段放量23.6%，但较昨日同期缩量15.8%。放量出现在指数走弱阶段，存在</w:t>
      </w:r>
      <w:r>
        <w:rPr>
          <w:rFonts w:ascii="微软雅黑" w:hAnsi="微软雅黑" w:eastAsia="微软雅黑"/>
          <w:b/>
          <w:color w:val="D29922"/>
          <w:sz w:val="22"/>
        </w:rPr>
        <w:t>量价背离</w:t>
      </w:r>
      <w:r>
        <w:rPr>
          <w:rFonts w:ascii="微软雅黑" w:hAnsi="微软雅黑" w:eastAsia="微软雅黑"/>
          <w:color w:val="1A1A1A"/>
          <w:sz w:val="22"/>
        </w:rPr>
        <w:t>嫌疑，需警惕抛压释放。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：上涨729家/下跌262家，涨跌比72.9%，绝对水平仍偏多，但考虑到指数加速下跌，市场宽度与指数走势背离，赚钱效应可能集中在小票而权重拖累。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权重股成交占比测算：沪深300成交额4467亿，占两市16951亿的约26.4%，远未达到70%的虹吸阈值，说明资金并未集中涌入大票，市场活跃度更多来自中小盘题材。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：新浪资金流样本（30只）显示总净流入16.19亿，大单净流入10.35亿，流入17家/流出13家，大资金小幅偏多但分歧明显，未形成合力。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</w:t>
      </w:r>
      <w:r>
        <w:rPr>
          <w:rFonts w:ascii="微软雅黑" w:hAnsi="微软雅黑" w:eastAsia="微软雅黑"/>
          <w:color w:val="1A1A1A"/>
          <w:sz w:val="22"/>
        </w:rPr>
        <w:t>：领涨为生物制药（+0.42%）、医疗器械（+0.36%）、酒店旅游（+0.26%），属于医药消费类题材；领跌为陶瓷（-0.65%）、次新股（-0.63%）、酿酒（-0.44%）、飞机制造（-0.39%）。酿酒板块作为权重持续走弱，直接拖累上证和沪深300，而医药板块涨幅温和，属于</w:t>
      </w:r>
      <w:r>
        <w:rPr>
          <w:rFonts w:ascii="微软雅黑" w:hAnsi="微软雅黑" w:eastAsia="微软雅黑"/>
          <w:b/>
          <w:color w:val="D29922"/>
          <w:sz w:val="22"/>
        </w:rPr>
        <w:t>题材进攻但力度有限</w:t>
      </w:r>
      <w:r>
        <w:rPr>
          <w:rFonts w:ascii="微软雅黑" w:hAnsi="微软雅黑" w:eastAsia="微软雅黑"/>
          <w:color w:val="1A1A1A"/>
          <w:sz w:val="22"/>
        </w:rPr>
        <w:t>，并非权重防御。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结构结论</w:t>
      </w:r>
      <w:r>
        <w:rPr>
          <w:rFonts w:ascii="微软雅黑" w:hAnsi="微软雅黑" w:eastAsia="微软雅黑"/>
          <w:color w:val="1A1A1A"/>
          <w:sz w:val="22"/>
        </w:rPr>
        <w:t>：资金从酿酒等权重流出，流向医药等中小盘题材，但题材涨幅普遍未超0.5%，缺乏明确主线，市场仍在快速轮动中消耗动能。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验证外部共识：恒生指数+1.15%、恒生科技+1.16%，均为强看多信号；离岸人民币微升0.10%，属弱信号（</w:t>
      </w:r>
      <w:r>
        <w:rPr>
          <w:rFonts w:ascii="微软雅黑" w:hAnsi="微软雅黑" w:eastAsia="微软雅黑"/>
          <w:color w:val="1A1A1A"/>
          <w:sz w:val="22"/>
        </w:rPr>
        <w:t>&lt;</w:t>
      </w:r>
      <w:r>
        <w:rPr>
          <w:rFonts w:ascii="微软雅黑" w:hAnsi="微软雅黑" w:eastAsia="微软雅黑"/>
          <w:color w:val="1A1A1A"/>
          <w:sz w:val="22"/>
        </w:rPr>
        <w:t>0.3%可忽略）。Python预判3/3看多、得分+6.9置信度强，原始数据与判定一致，</w:t>
      </w:r>
      <w:r>
        <w:rPr>
          <w:rFonts w:ascii="微软雅黑" w:hAnsi="微软雅黑" w:eastAsia="微软雅黑"/>
          <w:b/>
          <w:color w:val="D29922"/>
          <w:sz w:val="22"/>
        </w:rPr>
        <w:t>外部联动确实偏多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：净卖出7.5亿，较上一时段净卖出扩大0.8亿，幅度温和。根据二维框架，南向净卖出+外部联动看多，理论上是内外资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