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3967.59</w:t>
            </w:r>
          </w:p>
        </w:tc>
        <w:tc>
          <w:tcPr>
            <w:tcW w:type="dxa" w:w="2160"/>
          </w:tcPr>
          <w:p>
            <w:r>
              <w:t>+0.70%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14315.40</w:t>
            </w:r>
          </w:p>
        </w:tc>
        <w:tc>
          <w:tcPr>
            <w:tcW w:type="dxa" w:w="2160"/>
          </w:tcPr>
          <w:p>
            <w:r>
              <w:t>+0.03%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3536.42</w:t>
            </w:r>
          </w:p>
        </w:tc>
        <w:tc>
          <w:tcPr>
            <w:tcW w:type="dxa" w:w="2160"/>
          </w:tcPr>
          <w:p>
            <w:r>
              <w:t>-0.75%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1737.79</w:t>
            </w:r>
          </w:p>
        </w:tc>
        <w:tc>
          <w:tcPr>
            <w:tcW w:type="dxa" w:w="2160"/>
          </w:tcPr>
          <w:p>
            <w:r>
              <w:t>-0.36%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4702.52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8031.16</w:t>
            </w:r>
          </w:p>
        </w:tc>
        <w:tc>
          <w:tcPr>
            <w:tcW w:type="dxa" w:w="2160"/>
          </w:tcPr>
          <w:p>
            <w:r>
              <w:t>+0.64%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20110 亿（高活跃度）</w:t>
      </w:r>
    </w:p>
    <w:p>
      <w:r>
        <w:t xml:space="preserve">  沪/深偏好：沪市 43%（偏成长进攻）</w:t>
      </w:r>
    </w:p>
    <w:p>
      <w:r>
        <w:t xml:space="preserve">  南向资金：净买入 37.1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9.77 亿  |  大单净 10.44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A股收盘复盘报告（2026-08-10 15:00）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午后资金加速向主板价值股倾斜，成长/小盘股遭全面抽血</w:t>
      </w:r>
      <w:r>
        <w:rPr>
          <w:rFonts w:ascii="微软雅黑" w:hAnsi="微软雅黑" w:eastAsia="微软雅黑"/>
          <w:color w:val="1A1A1A"/>
          <w:sz w:val="22"/>
        </w:rPr>
        <w:t>，市场呈现极端分化。上证指数强势加速上涨，涨幅较上一时段扩大0.53pp至+0.7%，而创业板指尽管跌势减弱，仍收跌-0.75%。两市成交额激增至24985亿，放量21.3%，显示多空分歧在指数背离中急剧放大，</w:t>
      </w:r>
      <w:r>
        <w:rPr>
          <w:rFonts w:ascii="微软雅黑" w:hAnsi="微软雅黑" w:eastAsia="微软雅黑"/>
          <w:b/>
          <w:color w:val="D29922"/>
          <w:sz w:val="22"/>
        </w:rPr>
        <w:t>动能为结构性加速而非普涨</w:t>
      </w:r>
      <w:r>
        <w:rPr>
          <w:rFonts w:ascii="微软雅黑" w:hAnsi="微软雅黑" w:eastAsia="微软雅黑"/>
          <w:color w:val="1A1A1A"/>
          <w:sz w:val="22"/>
        </w:rPr>
        <w:t>，资金正从高估值“双创”板块流向沪市权重蓝筹。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：700:290（70%上涨）。此比例存疑，与指数极端分化不符，可能样本有限，实际市场宽度可能更差。涨停17家 vs 跌停3家，局部投机氛围温和。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：全日成交24985亿，较上一时段放量21.3%。</w:t>
      </w:r>
      <w:r>
        <w:rPr>
          <w:rFonts w:ascii="微软雅黑" w:hAnsi="微软雅黑" w:eastAsia="微软雅黑"/>
          <w:b/>
          <w:color w:val="D29922"/>
          <w:sz w:val="22"/>
        </w:rPr>
        <w:t>量价关系解读</w:t>
      </w:r>
      <w:r>
        <w:rPr>
          <w:rFonts w:ascii="微软雅黑" w:hAnsi="微软雅黑" w:eastAsia="微软雅黑"/>
          <w:color w:val="1A1A1A"/>
          <w:sz w:val="22"/>
        </w:rPr>
        <w:t>：上证加速涨+深成指反弹均伴随放量，为多方信号；但创业板/科创50放量下跌，为空方信号。总体是结构性放量。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活跃度：20110亿，较上一时段持平，处于超高活跃区间，外资积极参与。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沪/深偏好：沪市成交占比43%，偏向成长进攻，与今日沪强深弱的盘面形成</w:t>
      </w:r>
      <w:r>
        <w:rPr>
          <w:rFonts w:ascii="微软雅黑" w:hAnsi="微软雅黑" w:eastAsia="微软雅黑"/>
          <w:b/>
          <w:color w:val="D29922"/>
          <w:sz w:val="22"/>
        </w:rPr>
        <w:t>轻微背离</w:t>
      </w:r>
      <w:r>
        <w:rPr>
          <w:rFonts w:ascii="微软雅黑" w:hAnsi="微软雅黑" w:eastAsia="微软雅黑"/>
          <w:color w:val="1A1A1A"/>
          <w:sz w:val="22"/>
        </w:rPr>
        <w:t>，暗示外资可能并非沪市拉升主力。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南向资金：港股通净买入37.1亿，较上一时段增加2.1亿，</w:t>
      </w:r>
      <w:r>
        <w:rPr>
          <w:rFonts w:ascii="微软雅黑" w:hAnsi="微软雅黑" w:eastAsia="微软雅黑"/>
          <w:b/>
          <w:color w:val="D29922"/>
          <w:sz w:val="22"/>
        </w:rPr>
        <w:t>大幅净流入港股</w:t>
      </w:r>
      <w:r>
        <w:rPr>
          <w:rFonts w:ascii="微软雅黑" w:hAnsi="微软雅黑" w:eastAsia="微软雅黑"/>
          <w:color w:val="1A1A1A"/>
          <w:sz w:val="22"/>
        </w:rPr>
        <w:t>。此为A股情绪反向指标，表明内资仍在南下抄底，A股内部情绪偏谨慎。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信号综合</w:t>
      </w:r>
      <w:r>
        <w:rPr>
          <w:rFonts w:ascii="微软雅黑" w:hAnsi="微软雅黑" w:eastAsia="微软雅黑"/>
          <w:color w:val="1A1A1A"/>
          <w:sz w:val="22"/>
        </w:rPr>
        <w:t>：北向高活跃+南向大幅净买入=分歧加大。外资活跃但内资南下，A股的上涨更依赖内资主力在特定板动的集中发力。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主线逻辑：防御性消费与上游资源双轮驱动，高位科技题材全面退潮。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酿酒行业（+1.79%）</w:t>
      </w:r>
      <w:r>
        <w:rPr>
          <w:rFonts w:ascii="微软雅黑" w:hAnsi="微软雅黑" w:eastAsia="微软雅黑"/>
          <w:color w:val="1A1A1A"/>
          <w:sz w:val="22"/>
        </w:rPr>
        <w:t>一枝独秀，飞机制造（+0.54%）、有色金属（+0.51%）跟随。驱动因素：酿酒板块上涨反映资金抱团业绩确定性的防御心态；有色受益于伦敦金（+0.4%）、LME铜（+0.34%）等国际大宗商品价格上涨。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次新股（-1.12%）</w:t>
      </w:r>
      <w:r>
        <w:rPr>
          <w:rFonts w:ascii="微软雅黑" w:hAnsi="微软雅黑" w:eastAsia="微软雅黑"/>
          <w:color w:val="1A1A1A"/>
          <w:sz w:val="22"/>
        </w:rPr>
        <w:t>领跌，陶瓷（-0.69%）、机械（-0.14%）、电子信息（-0.13%）等表现疲弱。次新股杀跌是风险偏好显著下降的明确信号，资金逃离无业绩支撑的高估值题材股。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板块轮动信号</w:t>
      </w:r>
      <w:r>
        <w:rPr>
          <w:rFonts w:ascii="微软雅黑" w:hAnsi="微软雅黑" w:eastAsia="微软雅黑"/>
          <w:color w:val="1A1A1A"/>
          <w:sz w:val="22"/>
        </w:rPr>
        <w:t>：此为典型的“避高就低”轮动，从创业板/科创板的科技成长，切换至主板的消费和周期蓝筹。</w:t>
      </w:r>
      <w:r>
        <w:rPr>
          <w:rFonts w:ascii="微软雅黑" w:hAnsi="微软雅黑" w:eastAsia="微软雅黑"/>
          <w:b/>
          <w:color w:val="D29922"/>
          <w:sz w:val="22"/>
        </w:rPr>
        <w:t>板块快速轮动迹象明显，需警惕一日游行情。</w:t>
      </w:r>
    </w:p>
    <w:p>
      <w:pPr>
        <w:spacing w:after="120"/>
      </w:pP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各指数技术状态分化，主板强势多头 vs 双创弱势反抽。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：收3967.59点，处于加速上涨形态。较上一时段动能增强，呈现量增价升的强势攻击姿态。上方无明显压力，短期目标直指4000点整数关口。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：收3536.42点，跌势减弱但未扭转。较上一时段跌幅收窄1.32pp，属于</w:t>
      </w:r>
      <w:r>
        <w:rPr>
          <w:rFonts w:ascii="微软雅黑" w:hAnsi="微软雅黑" w:eastAsia="微软雅黑"/>
          <w:b/>
          <w:color w:val="D29922"/>
          <w:sz w:val="22"/>
        </w:rPr>
        <w:t>下跌中继型弱反弹</w:t>
      </w:r>
      <w:r>
        <w:rPr>
          <w:rFonts w:ascii="微软雅黑" w:hAnsi="微软雅黑" w:eastAsia="微软雅黑"/>
          <w:color w:val="1A1A1A"/>
          <w:sz w:val="22"/>
        </w:rPr>
        <w:t>，量能显示抛压仍重，尚未出现明确止跌信号。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：收1737.79点，同理为跌势减弱型反弹。较上一时段反弹1.79pp，但无成交量配合。</w:t>
      </w:r>
      <w:r>
        <w:rPr>
          <w:rFonts w:ascii="微软雅黑" w:hAnsi="微软雅黑" w:eastAsia="微软雅黑"/>
          <w:b/>
          <w:color w:val="D29922"/>
          <w:sz w:val="22"/>
        </w:rPr>
        <w:t>动能定性为下跌抵抗</w:t>
      </w:r>
      <w:r>
        <w:rPr>
          <w:rFonts w:ascii="微软雅黑" w:hAnsi="微软雅黑" w:eastAsia="微软雅黑"/>
          <w:color w:val="1A1A1A"/>
          <w:sz w:val="22"/>
        </w:rPr>
        <w:t>，趋势反转需等待一根放量阳线确认。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资金从“双创”流向主板的路径清晰，</w:t>
      </w:r>
      <w:r>
        <w:rPr>
          <w:rFonts w:ascii="微软雅黑" w:hAnsi="微软雅黑" w:eastAsia="微软雅黑"/>
          <w:b/>
          <w:color w:val="D29922"/>
          <w:sz w:val="22"/>
        </w:rPr>
        <w:t>量化信号确认为风格极致切换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：来源样本显示，大单净买入10.44亿，但总净额仅9.77亿，且资金流出家数（20家）远超流入（10家）。这表明</w:t>
      </w:r>
      <w:r>
        <w:rPr>
          <w:rFonts w:ascii="微软雅黑" w:hAnsi="微软雅黑" w:eastAsia="微软雅黑"/>
          <w:b/>
          <w:color w:val="D29922"/>
          <w:sz w:val="22"/>
        </w:rPr>
        <w:t>大资金仅集中买入极少数权重股拉升指数</w:t>
      </w:r>
      <w:r>
        <w:rPr>
          <w:rFonts w:ascii="微软雅黑" w:hAnsi="微软雅黑" w:eastAsia="微软雅黑"/>
          <w:color w:val="1A1A1A"/>
          <w:sz w:val="22"/>
        </w:rPr>
        <w:t>，而绝大部分个股遭遇资金流出，市场宽度极差。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：全市场放量而指数涨跌互现，是典型的</w:t>
      </w:r>
      <w:r>
        <w:rPr>
          <w:rFonts w:ascii="微软雅黑" w:hAnsi="微软雅黑" w:eastAsia="微软雅黑"/>
          <w:b/>
          <w:color w:val="D29922"/>
          <w:sz w:val="22"/>
        </w:rPr>
        <w:t>结构性量价背离</w:t>
      </w:r>
      <w:r>
        <w:rPr>
          <w:rFonts w:ascii="微软雅黑" w:hAnsi="微软雅黑" w:eastAsia="微软雅黑"/>
          <w:color w:val="1A1A1A"/>
          <w:sz w:val="22"/>
        </w:rPr>
        <w:t>。资金从多数个股流出，集中涌入上证50/沪深300等少数指数成分股。这不是健康的普涨行情。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：尽管涨跌比数据存疑，但从各主要指数表现及板块涨跌比推断，今日市场宽度很窄。强势股集中在酿酒、部分有色和军工，而多数科技、机械、地产等板块均显疲态。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宏观数据显示基本面承压，政策宽松预期与避险情绪并存。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通胀走弱</w:t>
      </w:r>
      <w:r>
        <w:rPr>
          <w:rFonts w:ascii="微软雅黑" w:hAnsi="微软雅黑" w:eastAsia="微软雅黑"/>
          <w:color w:val="1A1A1A"/>
          <w:sz w:val="22"/>
        </w:rPr>
        <w:t>：7月CPI同比+0.5%（前值1.0%），PPI同比+3.5%（前值4.1%），均显著回落。输入性通缩压力增大，为货币政策进一步宽松打开空间，但也印证了内需不足的困境。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经济景气度下滑</w:t>
      </w:r>
      <w:r>
        <w:rPr>
          <w:rFonts w:ascii="微软雅黑" w:hAnsi="微软雅黑" w:eastAsia="微软雅黑"/>
          <w:color w:val="1A1A1A"/>
          <w:sz w:val="22"/>
        </w:rPr>
        <w:t>：7月制造业PMI 49.2，服务业PMI 49.3，均跌破荣枯线。这解释了为何资金抛弃与经济周期高度相关的科技、制造板块，转而拥抱必选消费（酿酒）和受益于全球定价的资源品（有色）。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流动性稳定</w:t>
      </w:r>
      <w:r>
        <w:rPr>
          <w:rFonts w:ascii="微软雅黑" w:hAnsi="微软雅黑" w:eastAsia="微软雅黑"/>
          <w:color w:val="1A1A1A"/>
          <w:sz w:val="22"/>
        </w:rPr>
        <w:t>：M2增速8.0%，LPR连续14个月不变，商业银行净息差处历史低位。当前市场驱动力非宏观流动性总量扩张，而是风险偏好下降导致的</w:t>
      </w:r>
      <w:r>
        <w:rPr>
          <w:rFonts w:ascii="微软雅黑" w:hAnsi="微软雅黑" w:eastAsia="微软雅黑"/>
          <w:b/>
          <w:color w:val="D29922"/>
          <w:sz w:val="22"/>
        </w:rPr>
        <w:t>资金内部迁移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当前市场的主要风险集中于</w:t>
      </w:r>
      <w:r>
        <w:rPr>
          <w:rFonts w:ascii="微软雅黑" w:hAnsi="微软雅黑" w:eastAsia="微软雅黑"/>
          <w:b/>
          <w:color w:val="D29922"/>
          <w:sz w:val="22"/>
        </w:rPr>
        <w:t>结构性牛市下的流动性陷阱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指数失真的风险</w:t>
      </w:r>
      <w:r>
        <w:rPr>
          <w:rFonts w:ascii="微软雅黑" w:hAnsi="微软雅黑" w:eastAsia="微软雅黑"/>
          <w:color w:val="1A1A1A"/>
          <w:sz w:val="22"/>
        </w:rPr>
        <w:t>：上证指数的上涨由极少数大市值个股驱动，掩盖了多数个股下跌的事实。一旦这些权重股获利回吐，市场将面临指数与个股的同步下杀。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风格切换的持续性风险</w:t>
      </w:r>
      <w:r>
        <w:rPr>
          <w:rFonts w:ascii="微软雅黑" w:hAnsi="微软雅黑" w:eastAsia="微软雅黑"/>
          <w:color w:val="1A1A1A"/>
          <w:sz w:val="22"/>
        </w:rPr>
        <w:t>：今日酿酒、有色等板块的上涨逻辑是防御和避险，而非经济复苏预期。此类行情通常轮动极快，追高风险极大。若后续无更多宏观数据验证，主线可能迅速消散。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外资与内资的分歧风险</w:t>
      </w:r>
      <w:r>
        <w:rPr>
          <w:rFonts w:ascii="微软雅黑" w:hAnsi="微软雅黑" w:eastAsia="微软雅黑"/>
          <w:color w:val="1A1A1A"/>
          <w:sz w:val="22"/>
        </w:rPr>
        <w:t>：北向高活跃但南向资金大幅净买入，显示内外资对估值和机会的判断存在根本分歧。这种不一致性将加剧市场波动。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技术性破位风险</w:t>
      </w:r>
      <w:r>
        <w:rPr>
          <w:rFonts w:ascii="微软雅黑" w:hAnsi="微软雅黑" w:eastAsia="微软雅黑"/>
          <w:color w:val="1A1A1A"/>
          <w:sz w:val="22"/>
        </w:rPr>
        <w:t>：创业板和科创50指数若不能迅速拉回，今日的弱反弹仅为下跌中继，后续可能引发新一轮技术性抛压。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（⚠️ 免责声明：本报告由 AI 自动生成，仅供参考，不构成任何投资建议。投资有风险，入市需谨慎。）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