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股量化报告 — 盘前简报</w:t>
      </w:r>
    </w:p>
    <w:p>
      <w:pPr>
        <w:jc w:val="center"/>
      </w:pPr>
      <w:r>
        <w:rPr>
          <w:color w:val="8B949E"/>
          <w:sz w:val="20"/>
        </w:rPr>
        <w:t>2026-09-11  |  模型: DeepSeek  |  量化交易视角</w:t>
      </w:r>
    </w:p>
    <w:p>
      <w:pPr>
        <w:pStyle w:val="Heading2"/>
      </w:pPr>
      <w:r>
        <w:t>核心指标速览</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指数</w:t>
            </w:r>
          </w:p>
        </w:tc>
        <w:tc>
          <w:tcPr>
            <w:tcW w:type="dxa" w:w="2160"/>
          </w:tcPr>
          <w:p>
            <w:r>
              <w:t>点位</w:t>
            </w:r>
          </w:p>
        </w:tc>
        <w:tc>
          <w:tcPr>
            <w:tcW w:type="dxa" w:w="2160"/>
          </w:tcPr>
          <w:p>
            <w:r>
              <w:t>涨跌幅</w:t>
            </w:r>
          </w:p>
        </w:tc>
        <w:tc>
          <w:tcPr>
            <w:tcW w:type="dxa" w:w="2160"/>
          </w:tcPr>
          <w:p>
            <w:r/>
          </w:p>
        </w:tc>
      </w:tr>
      <w:tr>
        <w:tc>
          <w:tcPr>
            <w:tcW w:type="dxa" w:w="2160"/>
          </w:tcPr>
          <w:p>
            <w:r>
              <w:t>上证指数</w:t>
            </w:r>
          </w:p>
        </w:tc>
        <w:tc>
          <w:tcPr>
            <w:tcW w:type="dxa" w:w="2160"/>
          </w:tcPr>
          <w:p>
            <w:r>
              <w:t>3934.15</w:t>
            </w:r>
          </w:p>
        </w:tc>
        <w:tc>
          <w:tcPr>
            <w:tcW w:type="dxa" w:w="2160"/>
          </w:tcPr>
          <w:p>
            <w:r>
              <w:t>-0.01%</w:t>
            </w:r>
          </w:p>
        </w:tc>
        <w:tc>
          <w:tcPr>
            <w:tcW w:type="dxa" w:w="2160"/>
          </w:tcPr>
          <w:p>
            <w:r/>
          </w:p>
        </w:tc>
      </w:tr>
      <w:tr>
        <w:tc>
          <w:tcPr>
            <w:tcW w:type="dxa" w:w="2160"/>
          </w:tcPr>
          <w:p>
            <w:r>
              <w:t>深证成指</w:t>
            </w:r>
          </w:p>
        </w:tc>
        <w:tc>
          <w:tcPr>
            <w:tcW w:type="dxa" w:w="2160"/>
          </w:tcPr>
          <w:p>
            <w:r>
              <w:t>13617.67</w:t>
            </w:r>
          </w:p>
        </w:tc>
        <w:tc>
          <w:tcPr>
            <w:tcW w:type="dxa" w:w="2160"/>
          </w:tcPr>
          <w:p>
            <w:r>
              <w:t>+0.00%</w:t>
            </w:r>
          </w:p>
        </w:tc>
        <w:tc>
          <w:tcPr>
            <w:tcW w:type="dxa" w:w="2160"/>
          </w:tcPr>
          <w:p>
            <w:r/>
          </w:p>
        </w:tc>
      </w:tr>
      <w:tr>
        <w:tc>
          <w:tcPr>
            <w:tcW w:type="dxa" w:w="2160"/>
          </w:tcPr>
          <w:p>
            <w:r>
              <w:t>创业板指</w:t>
            </w:r>
          </w:p>
        </w:tc>
        <w:tc>
          <w:tcPr>
            <w:tcW w:type="dxa" w:w="2160"/>
          </w:tcPr>
          <w:p>
            <w:r>
              <w:t>3338.42</w:t>
            </w:r>
          </w:p>
        </w:tc>
        <w:tc>
          <w:tcPr>
            <w:tcW w:type="dxa" w:w="2160"/>
          </w:tcPr>
          <w:p>
            <w:r>
              <w:t>+0.00%</w:t>
            </w:r>
          </w:p>
        </w:tc>
        <w:tc>
          <w:tcPr>
            <w:tcW w:type="dxa" w:w="2160"/>
          </w:tcPr>
          <w:p>
            <w:r/>
          </w:p>
        </w:tc>
      </w:tr>
      <w:tr>
        <w:tc>
          <w:tcPr>
            <w:tcW w:type="dxa" w:w="2160"/>
          </w:tcPr>
          <w:p>
            <w:r>
              <w:t>科创50</w:t>
            </w:r>
          </w:p>
        </w:tc>
        <w:tc>
          <w:tcPr>
            <w:tcW w:type="dxa" w:w="2160"/>
          </w:tcPr>
          <w:p>
            <w:r>
              <w:t>1569.22</w:t>
            </w:r>
          </w:p>
        </w:tc>
        <w:tc>
          <w:tcPr>
            <w:tcW w:type="dxa" w:w="2160"/>
          </w:tcPr>
          <w:p>
            <w:r>
              <w:t>+0.00%</w:t>
            </w:r>
          </w:p>
        </w:tc>
        <w:tc>
          <w:tcPr>
            <w:tcW w:type="dxa" w:w="2160"/>
          </w:tcPr>
          <w:p>
            <w:r/>
          </w:p>
        </w:tc>
      </w:tr>
      <w:tr>
        <w:tc>
          <w:tcPr>
            <w:tcW w:type="dxa" w:w="2160"/>
          </w:tcPr>
          <w:p>
            <w:r>
              <w:t>沪深300</w:t>
            </w:r>
          </w:p>
        </w:tc>
        <w:tc>
          <w:tcPr>
            <w:tcW w:type="dxa" w:w="2160"/>
          </w:tcPr>
          <w:p>
            <w:r>
              <w:t>4548.04</w:t>
            </w:r>
          </w:p>
        </w:tc>
        <w:tc>
          <w:tcPr>
            <w:tcW w:type="dxa" w:w="2160"/>
          </w:tcPr>
          <w:p>
            <w:r>
              <w:t>-0.01%</w:t>
            </w:r>
          </w:p>
        </w:tc>
        <w:tc>
          <w:tcPr>
            <w:tcW w:type="dxa" w:w="2160"/>
          </w:tcPr>
          <w:p>
            <w:r/>
          </w:p>
        </w:tc>
      </w:tr>
      <w:tr>
        <w:tc>
          <w:tcPr>
            <w:tcW w:type="dxa" w:w="2160"/>
          </w:tcPr>
          <w:p>
            <w:r>
              <w:t>中证500</w:t>
            </w:r>
          </w:p>
        </w:tc>
        <w:tc>
          <w:tcPr>
            <w:tcW w:type="dxa" w:w="2160"/>
          </w:tcPr>
          <w:p>
            <w:r>
              <w:t>7717.77</w:t>
            </w:r>
          </w:p>
        </w:tc>
        <w:tc>
          <w:tcPr>
            <w:tcW w:type="dxa" w:w="2160"/>
          </w:tcPr>
          <w:p>
            <w:r>
              <w:t>+-0.00%</w:t>
            </w:r>
          </w:p>
        </w:tc>
        <w:tc>
          <w:tcPr>
            <w:tcW w:type="dxa" w:w="2160"/>
          </w:tcPr>
          <w:p>
            <w:r/>
          </w:p>
        </w:tc>
      </w:tr>
    </w:tbl>
    <w:p/>
    <w:p>
      <w:r>
        <w:rPr>
          <w:b/>
        </w:rPr>
        <w:t>宏观数据：</w:t>
      </w:r>
      <w:r>
        <w:t>CPI 0.5%  |  PPI 3.5%  |  PMI 49.2  |  M2 8.0%  |  LPR 1Y 3.0%</w:t>
      </w:r>
    </w:p>
    <w:p/>
    <w:p>
      <w:pPr>
        <w:pStyle w:val="Heading2"/>
      </w:pPr>
      <w:r>
        <w:t>量化分析</w:t>
      </w:r>
    </w:p>
    <w:p>
      <w:pPr>
        <w:pStyle w:val="Heading2"/>
      </w:pPr>
      <w:r>
        <w:rPr>
          <w:rFonts w:ascii="微软雅黑" w:hAnsi="微软雅黑" w:eastAsia="微软雅黑"/>
          <w:color w:val="1A1A1A"/>
          <w:sz w:val="22"/>
        </w:rPr>
        <w:t>一、隔夜传导</w:t>
      </w:r>
    </w:p>
    <w:p>
      <w:pPr>
        <w:spacing w:after="120"/>
      </w:pPr>
      <w:r>
        <w:rPr>
          <w:rFonts w:ascii="微软雅黑" w:hAnsi="微软雅黑" w:eastAsia="微软雅黑"/>
          <w:color w:val="1A1A1A"/>
          <w:sz w:val="22"/>
        </w:rPr>
        <w:t>本时段核心变化是外盘温和回调与内盘边际动能改善的背离。隔夜纳斯达克收跌0.65%至26081点，属技术性回撤而非恐慌抛售，对A股开盘不构成系统性压制。结合指数对比数据，上证较上一时段反弹0.42pp、深成指加速上涨0.76pp、科创50加速上涨0.69pp，显示内盘在昨收盘前已积累上行动量，外盘跌幅有限，预计开盘小幅低开或平开后快速修复。</w:t>
      </w:r>
    </w:p>
    <w:p>
      <w:pPr>
        <w:spacing w:after="120"/>
      </w:pPr>
      <w:r>
        <w:rPr>
          <w:rFonts w:ascii="微软雅黑" w:hAnsi="微软雅黑" w:eastAsia="微软雅黑"/>
          <w:color w:val="1A1A1A"/>
          <w:sz w:val="22"/>
        </w:rPr>
        <w:t>富时A50期货方向性数据本次缺失，无法直接验证外资盘前风险偏好。但从南向资金监测框架看，若今日南向净买入超过30亿港元，则说明内资仍在南下，A股情绪偏弱；反之南向净卖出则意味着内资回流，对A股情绪形成支撑。隔夜纳斯达克跌幅未超1%，不足以单独驱动外资risk-off，开盘方向判断以A股自身量能为核心变量。</w:t>
      </w:r>
    </w:p>
    <w:p>
      <w:pPr>
        <w:pStyle w:val="Heading2"/>
      </w:pPr>
      <w:r>
        <w:rPr>
          <w:rFonts w:ascii="微软雅黑" w:hAnsi="微软雅黑" w:eastAsia="微软雅黑"/>
          <w:color w:val="1A1A1A"/>
          <w:sz w:val="22"/>
        </w:rPr>
        <w:t>二、今日关注</w:t>
      </w:r>
    </w:p>
    <w:p>
      <w:pPr>
        <w:spacing w:after="120"/>
      </w:pPr>
      <w:r>
        <w:rPr>
          <w:rFonts w:ascii="微软雅黑" w:hAnsi="微软雅黑" w:eastAsia="微软雅黑"/>
          <w:color w:val="1A1A1A"/>
          <w:sz w:val="22"/>
        </w:rPr>
        <w:t>本时段核心变化是中小盘指数加速上涨与量能未同步确认的潜在背离。创业板指较上一时段加速0.48pp、中证500加速0.62pp，但各指数收盘均贴近涨跌幅零轴附近，说明上攻力度尚不充分，属于动能初步积聚阶段而非趋势反转。今日重点观察开盘后30分钟成交额能否较昨日同期放大，若上证5000亿以下量能对应中小盘继续上行，则构成量价背离，反弹可信度不高。</w:t>
      </w:r>
    </w:p>
    <w:p>
      <w:pPr>
        <w:spacing w:after="120"/>
      </w:pPr>
      <w:r>
        <w:rPr>
          <w:rFonts w:ascii="微软雅黑" w:hAnsi="微软雅黑" w:eastAsia="微软雅黑"/>
          <w:color w:val="1A1A1A"/>
          <w:sz w:val="22"/>
        </w:rPr>
        <w:t>板块轮动呈现快速切换特征：船舶制造延续领涨，但玻璃行业、传媒娱乐为新进热点，说明资金在做高低切换而非主线进攻。当前CPI回落至0.5%、PPI降至3.5%、制造业PMI 49.2跌破荣枯线，宏观出清压力未消，资金更倾向于防御性板块和低位补涨。重点关注船舶制造的资金持续性，以及传媒娱乐是否由事件驱动转为趋势性流入。</w:t>
      </w:r>
    </w:p>
    <w:p>
      <w:pPr>
        <w:spacing w:after="120"/>
      </w:pPr>
      <w:r>
        <w:rPr>
          <w:rFonts w:ascii="微软雅黑" w:hAnsi="微软雅黑" w:eastAsia="微软雅黑"/>
          <w:color w:val="1A1A1A"/>
          <w:sz w:val="22"/>
        </w:rPr>
        <w:t>流动性方面，M2同比8.0%、LPR连续14个月不变、商业银行净息差压至1.4%历史低位，意味着货币政策进一步宽松空间受限，但社融增量同比少增8606亿元指向实体融资需求疲弱，市场难以从流动性维度获得单边推力。本周重点关注8月中旬央行数据发布窗口——若M1同比增速继续走弱，则印证企业端现金流恶化，对中小盘估值形成压力；若M1出现回升拐点，则为指数突破提供新的催化剂。</w:t>
      </w:r>
    </w:p>
    <w:p>
      <w:pPr>
        <w:spacing w:after="120"/>
      </w:pPr>
      <w:r>
        <w:rPr>
          <w:rFonts w:ascii="微软雅黑" w:hAnsi="微软雅黑" w:eastAsia="微软雅黑"/>
          <w:color w:val="1A1A1A"/>
          <w:sz w:val="22"/>
        </w:rPr>
        <w:t>关键位置：上证指数上方看昨日盘中高点及短期均线粘合区，若放量突破则确认反弹延续；下方防守位关注昨低附近，若消息面无新增利好且量能萎缩，指数大概率维持横盘震荡格局，创业板与中证500的加速信号需要量能配合确认，否则以反抽对待。</w:t>
      </w:r>
    </w:p>
    <w:p>
      <w:pPr>
        <w:spacing w:after="120"/>
      </w:pPr>
      <w:r>
        <w:rPr>
          <w:rFonts w:ascii="微软雅黑" w:hAnsi="微软雅黑" w:eastAsia="微软雅黑"/>
          <w:color w:val="1A1A1A"/>
          <w:sz w:val="22"/>
        </w:rPr>
        <w:t>免责声明：本报告由 AI 自动生成，仅供参考，不构成任何投资建议。投资有风险，入市需谨慎。报告中的数据来源于公开接口，不对其准确性做任何保证。</w:t>
      </w:r>
    </w:p>
    <w:p/>
    <w:p>
      <w:r>
        <w:rPr>
          <w:color w:val="8B949E"/>
          <w:sz w:val="16"/>
        </w:rPr>
        <w:t>⚠️ 免责声明：本报告由 AI 自动生成，仅供参考，不构成任何投资建议。投资有风险，入市需谨慎。报告中的数据来源于公开接口，不对其准确性做任何保证。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